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7807CD" w14:textId="01EB8C41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0440D4A" w14:textId="44704FB6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idth-percent:0;mso-width-relative:margin;mso-height-percent:0;mso-height-relative:margin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AD66530" w14:textId="6CC0F34D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5F50A7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2EE84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2561E23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80BED2A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14DEC8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532D255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4A144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B22675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DA63CC4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F39FBE1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5B4A01D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F70DC98" w14:textId="4142C0C4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855247</wp:posOffset>
                </wp:positionH>
                <wp:positionV relativeFrom="paragraph">
                  <wp:posOffset>117475</wp:posOffset>
                </wp:positionV>
                <wp:extent cx="4079631" cy="1645920"/>
                <wp:effectExtent l="0" t="0" r="16510" b="1143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79631" cy="164592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08F825A9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PERACIÓN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32B8FD1F" w14:textId="7DC86027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7DD356CA" w14:textId="12CC9F3C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2FB57CFE" w14:textId="1F41D37E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6088EE9E" w14:textId="77777777">
                            <w:pPr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7.34pt;mso-position-horizontal:absolute;mso-position-vertical-relative:text;margin-top:9.25pt;mso-position-vertical:absolute;width:321.23pt;height:129.60pt;mso-width-percent:0;mso-width-relative:page;mso-height-percent:0;mso-height-relative:margin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08F825A9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PERACIÓN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32B8FD1F" w14:textId="7DC86027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7DD356CA" w14:textId="12CC9F3C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2FB57CFE" w14:textId="1F41D37E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6088EE9E" w14:textId="77777777">
                      <w:pPr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E39F2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30E562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98AC6F1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C514366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6A72FA8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29349F8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32683A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E9D0F86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CC456A8" w14:textId="76BA8AFC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0" w:name="aprobacion"/>
      <w:r>
        <w:rPr>
          <w:color w:val="000000" w:themeColor="text1"/>
        </w:rPr>
      </w:r>
      <w:bookmarkStart w:id="1" w:name="ap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D4B6343" w14:textId="1BFB4AF9">
      <w:pPr>
        <w:pStyle w:val="1119"/>
        <w:numPr>
          <w:ilvl w:val="1"/>
          <w:numId w:val="2"/>
        </w:numPr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C80D921" w14:textId="77777777">
      <w:pPr>
        <w:spacing/>
        <w:ind/>
        <w:rPr>
          <w:rFonts w:ascii="Tahoma" w:hAnsi="Tahoma" w:cs="Tahoma"/>
          <w:color w:val="000000" w:themeColor="text1"/>
          <w:sz w:val="2"/>
          <w:szCs w:val="2"/>
        </w:rPr>
      </w:pP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519607F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0997A8E1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040B6D31" w14:textId="73C06A3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Analista Validaciones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48070E32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244F77A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vis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71513BEE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475208E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Martin Agüero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3554C877" w14:textId="2FFFB2F3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(Coordinador Validaciones)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2E496C8B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319DB18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Revisado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24D6AA5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3F01085E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6FB2D435" w14:textId="35B39445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Gerente de </w:t>
            </w:r>
            <w:r>
              <w:rPr>
                <w:rFonts w:ascii="Tahoma" w:hAnsi="Tahoma" w:cs="Tahoma"/>
                <w:color w:val="000000" w:themeColor="text1"/>
              </w:rPr>
              <w:t xml:space="preserve">Área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11C04E24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002EEA8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54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Aprobado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73B2377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2CC4241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Noemí Terrero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74418907" w14:textId="292F100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(Gerente Gestion de Calidad)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7F3F99CA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AA622A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9F71647" w14:textId="79986927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54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5FF5C3D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72673645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99D81E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3504FC32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1B4BE96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4A45C2B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714C16C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0F130639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21EBB8FD" w14:textId="69E5FB3D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19A594" w14:textId="17314DF3">
      <w:pPr>
        <w:pStyle w:val="1119"/>
        <w:numPr>
          <w:ilvl w:val="1"/>
          <w:numId w:val="2"/>
        </w:numPr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Describir las verificaciones y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riterios de evaluación utilizados para determinar que el equipo seleccionado, el proveedor y la configuración especificados pueden satisfacer las necesidades de cumplimiento para su uso previsto, según los requisitos del usuario y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55CBD16" w14:textId="1781B141">
      <w:pPr>
        <w:pStyle w:val="1118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69198B" w14:textId="37A16E43">
      <w:pPr>
        <w:pStyle w:val="1119"/>
        <w:numPr>
          <w:ilvl w:val="1"/>
          <w:numId w:val="2"/>
        </w:numPr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modelo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Modelo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ubicad@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en el área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(Edificio cuarto)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4C6AB" w14:textId="742B13F2">
      <w:pPr>
        <w:pStyle w:val="1118"/>
        <w:numPr>
          <w:ilvl w:val="0"/>
          <w:numId w:val="2"/>
        </w:numPr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68FE511" w14:textId="6C81087C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11FA6E" w14:textId="09B20E1D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1222E" w14:textId="50E88A4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Ejecutar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5491ED8" w14:textId="5851897D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1312008" w14:textId="682AB28F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A6AB65" w14:textId="560628F1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A2F62" w14:textId="118FEA92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C8BFCF" w14:textId="0738F8FA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4E6E17A2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277183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3A941E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12175" w14:textId="3B6DFD75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7C7871B4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C53011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2" w:name="_Toc282179730"/>
      <w:r>
        <w:rPr>
          <w:color w:val="000000" w:themeColor="text1"/>
        </w:rPr>
      </w:r>
      <w:bookmarkStart w:id="3" w:name="_Toc274225318"/>
      <w:r>
        <w:rPr>
          <w:color w:val="000000" w:themeColor="text1"/>
        </w:rPr>
      </w:r>
      <w:bookmarkStart w:id="4" w:name="_Toc273518741"/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D1D03F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2ED315" w14:textId="381B9522">
      <w:pPr>
        <w:pStyle w:val="1119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>
        <w:rPr>
          <w:color w:val="000000" w:themeColor="text1"/>
        </w:rPr>
      </w:r>
      <w:bookmarkEnd w:id="3"/>
      <w:r>
        <w:rPr>
          <w:color w:val="000000" w:themeColor="text1"/>
        </w:rPr>
      </w:r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6E78E71B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ADEDC8C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2BFE6EA" w14:textId="77777777">
      <w:pPr>
        <w:pStyle w:val="1145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3B59005">
      <w:p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2458C3E" w14:textId="17216111">
      <w:pPr>
        <w:pStyle w:val="1118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(SI APLICA)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02B9302" w14:textId="686B12D2">
      <w:pPr>
        <w:pStyle w:val="1145"/>
        <w:numPr>
          <w:ilvl w:val="2"/>
          <w:numId w:val="2"/>
        </w:numPr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9A471E" w14:textId="0AEC8300">
      <w:pPr>
        <w:pStyle w:val="1145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006A37" w14:textId="64550DA6">
      <w:pPr>
        <w:pStyle w:val="1145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Imagen del equipo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96159BC" w14:textId="421C077C">
      <w:pPr>
        <w:pStyle w:val="1145"/>
        <w:numPr>
          <w:ilvl w:val="2"/>
          <w:numId w:val="2"/>
        </w:numPr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0921F96" w14:textId="2B8CE472">
      <w:pPr>
        <w:pStyle w:val="1145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7D6C2A4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A2BD07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6E651A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151506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E0A4F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BE2355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1736B06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054D3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EC67F8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69ED8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FEBF81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B9634F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D8D526C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0E5C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5B5357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8EDA332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92F765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A8A280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ACD1B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FFF98B3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27E5912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217006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F009AF8" w14:textId="6084B247">
      <w:pPr>
        <w:pStyle w:val="1118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74DFD0" w14:textId="009D0D86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75A96AE" w14:textId="441FE8CD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(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OQ) es la colección documentada de las actividades necesarias para demostrar que un instrumento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o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funcionará de acuerdo con su prueba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especificación operativa en el entorno seleccionado. OQ demuestra la aptitud para el uso seleccionado y debe reflejar los requisitos para el usuario (URS, por sus siglas en inglés). Las pruebas en la fase de OQ pueden constar de los siguientes parámetros.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91E2417" w14:textId="46784E1B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Funciones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resulte aplicable, la prueba de OQ debe incluir elementos críticos del software de la aplicación configurado para demostrar que el sistema entero trabaja según lo esperado.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Las funciones a analizar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serían aquellas aplicables a la adquisición captura de datos, al análisis de datos y al informe de resultados en las co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ndiciones reales de uso, así como a la seguridad, el control de acceso y el registro de auditoría. El usuario puede aplicar metodologías de evaluación de riesgos y puede aprovechar el análisis del software del proveedor para enfocarlo en las pruebas de OQ.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A065B1" w14:textId="2C0C6B09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Almacenamiento de datos, copia de seguridad (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Backup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) y archivado seguro: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corresponda, probar el manejo seguro de datos, tal como almacenamiento, copia de seguridad, registros de auditoría y archivado en el sitio del usuario, de acuerdo con los procedimientos escritos.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23A4F" w14:textId="3FAD6B36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Pruebas de las funciones del instrumento: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 funciones del instrumento requeridas por el usuario se deben probar para verificar que el instrumento funcione según lo previsto por el fabricante.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información proporcionada por el proveedor es útil para identificar las especificaciones de estos parámetros y para diseñar las pruebas para verificar que el instrumento cumple con las especificaciones del proveedor o del usuario en el entorno del usuario.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1B3C829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nivel de prueba de OQ al que se somete un instrumento depende de sus aplicaciones deseadas, por lo tanto, este capítulo no ofrece pruebas específicas de OQ para ningún instrumento o aplicación.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Los parámetros a calificar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 describen en los capítulos generales relacionados con una técnica analítica específica.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912901B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Las pruebas de OQ pueden ser modulares o integrales. Los análisis modulares de los componentes individuales de un sistema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pueden facilitar el intercambio de dichos componentes sin recalificación, pero se requiere una evaluación de riesgos para justificar este hecho. Las pruebas integrales, que involucran a todo el sistema, demuestran que el sistema entero cumple con los URS.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82F3307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Para los paquetes de prueba de OQ adquiridos a un proveedor de servicios o proveedor de materiales, el usuario debe revisar el material para asegurar que las pruebas tengan una base científica y cump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lan con las reglamentaciones aplicables. El usuario debe revisar los documentos antes de la ejecución y debe aprobar las pruebas después de la ejecución para asegurar la integridad y exactitud del documento completado y de los datos de la prueba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429BA" w14:textId="43641CF0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Configuración y/o personalización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odas las configuraciones y/o personalizaciones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 software del instrumento se deben realizar antes de la OQ y deben documentarse. A menos que se requieran cambios para pruebas de componentes específicos, la OQ debe realizarse usando la configuración de software que será usada para el análisis de rutina.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73CCD" w14:textId="1FE7043B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EVALUACIÓN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REQUISITOS PREVIO A LA CALIFICACIÓN DE OPERACIÓN: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2A94B0B" w14:textId="49A004C3">
      <w:pPr>
        <w:pStyle w:val="1145"/>
        <w:numPr>
          <w:ilvl w:val="2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onfirmar la disponibilidad y vigencia de la documentación preliminar requerida para iniciar la calificación de operación del equipo, garantizando que todos los requisitos previos estén cumplidos.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969774" w14:textId="543BEC88">
      <w:pPr>
        <w:pStyle w:val="1145"/>
        <w:numPr>
          <w:ilvl w:val="2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y verificar, conforme a lo establecido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que toda la documentación requerida (manuales, certificados, planos, registros de instalación, entre otros) se encuentre disponible, vigente y en conformidad con las especificaciones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9FA9D98" w14:textId="586406DE">
      <w:pPr>
        <w:pStyle w:val="1145"/>
        <w:numPr>
          <w:ilvl w:val="2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listada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debe estar disponible, actualizada y completa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antes de iniciar la calificación de operación. En caso de aplicar, se debe contar con la evidencia documental que respalde cada requisito.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30"/>
        <w:gridCol w:w="6930"/>
        <w:gridCol w:w="2340"/>
      </w:tblGrid>
      <w:tr>
        <w:trPr>
          <w:trHeight w:val="479"/>
        </w:trPr>
        <w:tc>
          <w:tcPr>
            <w:shd w:val="clear" w:color="auto" w:fill="d9d9d9" w:themeFill="background1" w:themeFillShade="D9"/>
            <w:tcBorders/>
            <w:tcW w:w="1530" w:type="dxa"/>
            <w:vAlign w:val="center"/>
            <w:noWrap/>
          </w:tcPr>
          <w:p w14:paraId="43EA3A82" w14:textId="1072B93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.2-1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930" w:type="dxa"/>
            <w:vAlign w:val="center"/>
            <w:noWrap/>
          </w:tcPr>
          <w:p w14:paraId="412AF26D" w14:textId="3352239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Evaluación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de los Requisitos previo a la calificaci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ó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restart"/>
          </w:tcPr>
          <w:p w14:paraId="27A321AE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23A3C208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 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384FE122" w14:textId="40503906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530" w:type="dxa"/>
            <w:vAlign w:val="center"/>
            <w:noWrap/>
          </w:tcPr>
          <w:p w14:paraId="2A56B118" w14:textId="1BFC6DF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930" w:type="dxa"/>
            <w:vAlign w:val="center"/>
            <w:noWrap/>
          </w:tcPr>
          <w:p w14:paraId="4612E8F4" w14:textId="3BA418E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continue"/>
          </w:tcPr>
          <w:p w14:paraId="5E7FC18A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4EAA278" w14:textId="01A294C5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38DECF2" w14:textId="0E79475C">
            <w:pPr>
              <w:spacing w:after="120" w:before="120" w:line="240" w:lineRule="auto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76C7AF31" w14:textId="573EE56A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10117932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8750374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0214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44610AA" w14:textId="3B82332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E2C764D" w14:textId="5DB35888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Informe de IQ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AC352F9" w14:textId="344461C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882929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7671931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255069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FE68226" w14:textId="79F0071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AC0F471" w14:textId="44583784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76E555D" w14:textId="5A93ADF6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5484997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9032969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7965857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1AA7E39" w14:textId="04DD581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10182377" w14:textId="0756A231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Verificaciones funcionales sin el proceso en marcha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9153A04" w14:textId="39484C58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9231855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213382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1286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BAFC34B" w14:textId="3904B383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247AFEAF" w14:textId="2198E01C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Conformidad con las especificaciones de operación recomendadas por el proveedor, tolerancia y límites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D89452F" w14:textId="377B2B1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63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35283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39385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6781549F" w14:textId="0B6FCA5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675F0365" w14:textId="00DA4F64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Especificaciones de evaluación de los parámetros críticos (niveles de alerta y de acción)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431239E5" w14:textId="7F2365C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969391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1788171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953692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5420666" w14:textId="429C319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40FC5A56" w14:textId="5224722A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C226292" w14:textId="11959718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708199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51813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5915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1EBD12AD" w14:textId="3747EB8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5665BA02" w14:textId="5B3C8FFF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Capacitación documentada del personal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79DBF9D" w14:textId="0A528378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696349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6263579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321336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F6F21EF" w14:textId="5ED80AD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575AFE7" w14:textId="7C9A0307">
            <w:pPr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3EEA2834" w14:textId="64638457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3935069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4279292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37227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5E363AFA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FE51A78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93C95F7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0D2329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0D46766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4D9C295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F7636CD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C88FEED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70D6A4C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89B2D32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63DBE505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F39788F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AD2C1E5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32252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2652DA7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3128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E955A1A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387338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81D5C1F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9640720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1D7225C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3F1F096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666084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9978796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520DBA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3D87D79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F07C66D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CB2721B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22597A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1D6FAA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8F126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A957315" w14:textId="04CBDA25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4961DC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5E01482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13C6EC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67368D7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489ED0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4A57E99C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29D710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1D06225D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F61175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AC9180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61CFD75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09A262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30AE5E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4AAC40D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7596B1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9AFD43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F71382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79CC4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2ACBE7E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DB96834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E9DDEA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591FBC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121EA4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7EDDE5A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7DEB5DC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43E0AB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34AFE59" w14:textId="77777777">
      <w:pPr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0EDE15B" w14:textId="5CAA50A0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0E6774FC" w14:textId="77777777">
      <w:pPr>
        <w:pStyle w:val="1145"/>
        <w:numPr>
          <w:ilvl w:val="2"/>
          <w:numId w:val="2"/>
        </w:numPr>
        <w:tabs>
          <w:tab w:val="left" w:leader="none" w:pos="9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FF98A0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8F0AFE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BA57615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AFEC3B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Anotar en la tabla correspondiente los datos de cada calibración, incluyendo: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65CC9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422848E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Fabricante y modelo.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4406E4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Número de serie.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BC9215B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última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1199AB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vencimiento.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4410778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Código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FD8CF5" w14:textId="3C5E1717">
      <w:pPr>
        <w:pStyle w:val="1145"/>
        <w:numPr>
          <w:ilvl w:val="2"/>
          <w:numId w:val="2"/>
        </w:numPr>
        <w:tabs>
          <w:tab w:val="left" w:leader="none" w:pos="-90"/>
          <w:tab w:val="left" w:leader="none" w:pos="45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2156233" w14:textId="77777777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9653E81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1BBDFD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información registrada en la tabla correspondiente coincide con los datos de los certificados de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F549F07" w14:textId="77777777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D86A77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12167BE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6DFD120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9A33B3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A274CE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720FDC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55328B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C995B7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3F99929A">
            <w:pPr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-1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4631C436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2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09864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674828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88D63F5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056179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14B5F6B8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438E70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3416D60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07413E0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1D068A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7C334FE2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0A942413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7067E23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80B880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4C127F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331CFFE1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5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EFBCEA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071BF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39F4F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9EE965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4035E9CD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364"/>
        <w:gridCol w:w="1530"/>
        <w:gridCol w:w="333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615" w:type="dxa"/>
            <w:vAlign w:val="center"/>
          </w:tcPr>
          <w:p w14:paraId="7A7B1C8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0834AA6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7D3AE33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6309901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94" w:type="dxa"/>
            <w:vAlign w:val="center"/>
          </w:tcPr>
          <w:p w14:paraId="0ECEC9F3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9386378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E2626A7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6542044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52BAD5B9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610" w:type="dxa"/>
            <w:vAlign w:val="center"/>
          </w:tcPr>
          <w:p w14:paraId="64A5FBE9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4EBE1474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330" w:type="dxa"/>
            <w:vAlign w:val="center"/>
          </w:tcPr>
          <w:p w14:paraId="6D2374D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647862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52574983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615" w:type="dxa"/>
            <w:vAlign w:val="center"/>
          </w:tcPr>
          <w:p w14:paraId="7079B650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597E12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48E79B06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5BE20CD2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B97A3AE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CEE8BA7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854052A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0972386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860" w:type="dxa"/>
            <w:vAlign w:val="center"/>
          </w:tcPr>
          <w:p w14:paraId="113A781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5A0098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79B845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043021A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5887BD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D3874E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9EA1B9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6531168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739BBAB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429507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FADBCD4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E2326BB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A15541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7BC50A1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D5854A1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CE78CAC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218070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9EDC55C" w14:textId="77777777">
      <w:pPr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A560571" w14:textId="7E85FBAB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MODELO DE ENSAYO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11B9A6B" w14:textId="3B0F718E">
      <w:pPr>
        <w:pStyle w:val="1145"/>
        <w:numPr>
          <w:ilvl w:val="2"/>
          <w:numId w:val="2"/>
        </w:numPr>
        <w:tabs>
          <w:tab w:val="left" w:leader="none" w:pos="0"/>
          <w:tab w:val="left" w:leader="none" w:pos="36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verificar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que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función, parámetro operativo o característica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 objeto del ensayo opera de acuerdo con las especificaciones establecidas por el fabricante, los requerimientos del usuario y los criterios definidos para el proceso, demostrando su correcto desempeño bajo condiciones normales de operación.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BF20300" w14:textId="0AE01461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A28CD1C" w14:textId="38CE8B44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Desarrollar un procedimiento bien detallado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el paso a paso del ensayo considerando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manera general de las necesidades.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83CE25" w14:textId="1CDC52BC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169184B" w14:textId="056AE8B2">
      <w:pPr>
        <w:pStyle w:val="1145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criterios de aceptación detallados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con su tolerancia y rango.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2ADD59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Nota 1: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si el equipo entrega datos digitales, se deben procesar directamente y descargar la data cruda y anexarla al reporte estadísticos como parte del proceso.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71E9A53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B4DFF3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89D201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873E30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CB2AEE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B6AB11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6ED0E0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A573652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C7C692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E2EF6E9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9D7544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7F2855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8A4A68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7B9D107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E616991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504CA7C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D01AB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40137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46BBEC7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F3D958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A235994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2BC0B5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15A34D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6B2CF10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D9A5D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1917B3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91C692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DD988B" w14:textId="77777777">
      <w:pPr>
        <w:pStyle w:val="1145"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Style w:val="1154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2DD99212" w14:textId="1F2AA29D">
            <w:pPr>
              <w:pStyle w:val="1145"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0EC58599" w14:textId="0772D415">
            <w:pPr>
              <w:pStyle w:val="1145"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4AA2F5E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68BF9486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708A83B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22ADDC4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18A6545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012CF080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34130FF4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A57D8FC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52AC1E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A1E91E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679053B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ACAC55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55C2C91" w14:textId="77777777">
            <w:pPr>
              <w:pStyle w:val="1145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26A1E7" w14:textId="77777777">
            <w:pPr>
              <w:pStyle w:val="1145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3F196F26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4DC9DD38" w14:textId="3CC9BE57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54389412" w14:textId="1A6200EA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19955181" w14:textId="4177576E">
            <w:pPr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06488F9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A4F4888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E9E9380" w14:textId="5B3EE139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48D6659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F9C3DCC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7FB904E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2934173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6428FC7" w14:textId="16533F5F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2928535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A0D19C5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3A27A67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7EBD1C9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CDBD1DA" w14:textId="12B2D610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80E7D2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EE301CD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5C8F2C1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69D89A9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4B6D17E" w14:textId="71CAE04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8F91FB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72E047C3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12DEE2A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ED8F04F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387D6A5" w14:textId="0F0AF40A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4270E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8F121CF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AAD346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4B64D84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0C8B013" w14:textId="3240DB02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178AC3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8334E14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3473D3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E5A3B85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6AA253F" w14:textId="7D1E981E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5863CA1C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74D876A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450AEEC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729EE66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AB863D" w14:textId="19BEA02D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5499B10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3CEAAE6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F1D96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BAF994F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A992026" w14:textId="411399C4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F733157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138A0C9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7D121E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ACA4372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C8A65A7" w14:textId="27FECF9E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46A671A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102031A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53DA7D4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5844872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DC0187" w14:textId="756FAAF3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9334FCB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088D79E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CC49D1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B876D51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57970CC" w14:textId="57FE223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E94109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570EAEF" w14:textId="77777777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7F1A59E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261A6BD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5EDE53B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B226DF9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0AE6A1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9DB7379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709073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7ABC19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DB42A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46DE329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604E949D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D6736D8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BAFDF87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7652008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51EF69E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42426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E7C43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27771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195C28FD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7F9D345E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CEEFEC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07B0B8E4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053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2117016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4F7BB919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EF6579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67AE5B91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C1E25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35AB5C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720EDB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0C132B5B" w14:textId="291A2BE3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1E969F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4292D79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733EE4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E488411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EFF401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714A89D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A4B79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924322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CA536F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393AAD6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34DED17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33EC32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34C911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021A34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75FF98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A370572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2B7AFC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B99D91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707228B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A1270E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326A43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45A9EB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D45C90" w14:textId="77777777">
      <w:pPr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2ED680" w14:textId="6443DB5A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45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7020"/>
        <w:gridCol w:w="207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56E0E1E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7.11-1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7020" w:type="dxa"/>
            <w:vAlign w:val="center"/>
            <w:noWrap/>
          </w:tcPr>
          <w:p w14:paraId="4922CF41" w14:textId="2DF75DB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Resumen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5E37C68D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1CC8F50D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7020" w:type="dxa"/>
            <w:vAlign w:val="center"/>
            <w:noWrap/>
          </w:tcPr>
          <w:p w14:paraId="44A69FCD" w14:textId="087B6353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7B16E385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1DCB362" w14:textId="2D63C964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3D83BC" w14:textId="31B1EBF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hint="eastAsia" w:ascii="MS Gothic" w:hAnsi="MS Gothic" w:eastAsia="MS Gothic" w:cs="Tahoma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DD768A9" w14:textId="6831D22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DF5AE37" w14:textId="26D02F37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1C3BA7CC" w14:textId="5A58E1D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5CA0A30" w14:textId="4ED49C05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2A3A007" w14:textId="1EDBBDC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E7D33ED" w14:textId="0B15A108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DEDEFE5" w14:textId="6F0B831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163FDCA" w14:textId="37C9779E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0E6773C" w14:textId="27B1958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B677F6" w14:textId="088E645E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EDB7502" w14:textId="62C2131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7B1DEFC9" w14:textId="32C867C1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605EE8B9" w14:textId="4A642CC8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44D174E" w14:textId="70805152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4E4B8538" w14:textId="77777777">
      <w:pPr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45"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75908C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DB265E7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2FFC1DF8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1AEA7A45" w14:textId="77777777">
            <w:pPr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4C0FB3FB" w14:textId="6DFD8E17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D146AE" w14:textId="0993B61A">
      <w:pPr>
        <w:pStyle w:val="1119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480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80" w:type="dxa"/>
            <w:vAlign w:val="center"/>
          </w:tcPr>
          <w:p w14:paraId="102640FE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C5FDBD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111B48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85BF6D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D38B0F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940106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07EE3B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A6F5AD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7081E8F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E59CDC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9C53DE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28496CF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6E79273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DE4267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E9A790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2107C6D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E96F4A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</w:tbl>
    <w:p w14:paraId="3198308F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68090F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8DAE1C" w14:textId="11EDB827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1058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 CALIFICACIÓN DE INSTRUMENTOS ANALÍTICOS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77777777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11961274" w14:textId="338D46A4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454EB798" w14:textId="77777777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6E9BD2" w14:textId="22A9E6BE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18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18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54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2CA1A30A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01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45"/>
              <w:numPr>
                <w:ilvl w:val="0"/>
                <w:numId w:val="3"/>
              </w:numPr>
              <w:spacing/>
              <w:ind w:left="345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17D90DA5" w14:textId="77777777">
      <w:pPr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3A7B01" w14:textId="77777777">
      <w:pPr>
        <w:spacing w:after="0" w:line="240" w:lineRule="auto"/>
        <w:ind/>
        <w:rPr/>
      </w:pPr>
      <w:r>
        <w:separator/>
      </w:r>
      <w:r/>
    </w:p>
  </w:endnote>
  <w:endnote w:type="continuationSeparator" w:id="0">
    <w:p w14:paraId="07AF6DC1" w14:textId="77777777"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S Gothic">
    <w:panose1 w:val="020B06090303040B0204"/>
  </w:font>
  <w:font w:name="Segoe UI Symbol">
    <w:panose1 w:val="020B050204050402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1F2FD" w14:textId="77777777"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CC65CA8" w14:textId="77777777"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54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50"/>
            <w:spacing w:before="360"/>
            <w:ind w:left="972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Calibri" w:hAnsi="Calibri" w:cs="Calibri"/>
              <w:b/>
              <w:bCs/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idth-percent:0;mso-width-relative:margin;mso-height-percent:0;mso-height-relative:margin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color w:val="000000" w:themeColor="text1"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D659469" w14:textId="6DB28E23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8283B0A" w14:textId="76D48E9C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50"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A662118" w14:textId="4CBF853E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50"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B10502A" w14:textId="51296E9C">
          <w:pPr>
            <w:pStyle w:val="1150"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50"/>
            <w:spacing/>
            <w:ind/>
            <w:rPr>
              <w:rFonts w:ascii="Tahoma" w:hAnsi="Tahoma" w:cs="Tahoma"/>
              <w:color w:val="000000" w:themeColor="text1"/>
              <w:sz w:val="16"/>
              <w:szCs w:val="16"/>
            </w:rPr>
          </w:pP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</w:p>
        <w:p w14:paraId="513D5E4D" w14:textId="3D380F7F">
          <w:pPr>
            <w:pStyle w:val="1150"/>
            <w:spacing w:after="120" w:before="120"/>
            <w:ind/>
            <w:jc w:val="center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Tahoma" w:hAnsi="Tahoma" w:cs="Tahoma"/>
              <w:b/>
              <w:bCs/>
              <w:color w:val="000000" w:themeColor="text1"/>
              <w:lang w:val="en-US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CALIFICACION DE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PERACIÓN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SIN MARCA NI MODELO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</w:tr>
  </w:tbl>
  <w:p w14:paraId="5BF62218" w14:textId="77777777">
    <w:pPr>
      <w:pStyle w:val="1150"/>
      <w:spacing/>
      <w:ind/>
      <w:rPr>
        <w:color w:val="000000" w:themeColor="text1"/>
        <w:sz w:val="6"/>
        <w:szCs w:val="6"/>
      </w:rPr>
    </w:pP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5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0d0d0d" w:themeColor="text1" w:themeTint="F2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8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0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5">
    <w:name w:val="Table Grid Light"/>
    <w:basedOn w:val="11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Plain Table 1"/>
    <w:basedOn w:val="11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Plain Table 2"/>
    <w:basedOn w:val="11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Plain Table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1 Light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1 Light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1 Light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1 Light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1 Light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1 Light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2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2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2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2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2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3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3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3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3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3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4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4 - Accent 1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4 - Accent 2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 - Accent 3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4 - Accent 4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4 - Accent 5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4 - Accent 6"/>
    <w:basedOn w:val="11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5 Dark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5 Dark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5 Dark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5 Dark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5 Dark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5 Dark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6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6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6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6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6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7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7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7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7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7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1 Light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1 Light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1 Light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1 Light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1 Light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1 Light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2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2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2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2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3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3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3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3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3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4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4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4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4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4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5 Dark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5 Dark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5 Dark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5 Dark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5 Dark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5 Dark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6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6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6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6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6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6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7 Colorful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7 Colorful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7 Colorful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7 Colorful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7 Colorful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7 Colorful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ned - Accent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ned - Accent 1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ned - Accent 2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 3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ned - Accent 4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ned - Accent 5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ned - Accent 6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Bordered &amp; Lined - Accent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Bordered &amp; Lined - Accent 1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Bordered &amp; Lined - Accent 2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 3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&amp; Lined - Accent 4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&amp; Lined - Accent 5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&amp; Lined - Accent 6"/>
    <w:basedOn w:val="11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- Accent 1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- Accent 2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 - Accent 3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Bordered - Accent 4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Bordered - Accent 5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Bordered - Accent 6"/>
    <w:basedOn w:val="11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0">
    <w:name w:val="No Spacing"/>
    <w:basedOn w:val="1117"/>
    <w:uiPriority w:val="1"/>
    <w:qFormat/>
    <w:pPr>
      <w:pBdr/>
      <w:spacing w:after="0" w:line="240" w:lineRule="auto"/>
      <w:ind/>
    </w:pPr>
  </w:style>
  <w:style w:type="character" w:styleId="1101">
    <w:name w:val="Subtle Emphasis"/>
    <w:basedOn w:val="11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2">
    <w:name w:val="Emphasis"/>
    <w:basedOn w:val="1127"/>
    <w:uiPriority w:val="20"/>
    <w:qFormat/>
    <w:pPr>
      <w:pBdr/>
      <w:spacing/>
      <w:ind/>
    </w:pPr>
    <w:rPr>
      <w:i/>
      <w:iCs/>
    </w:rPr>
  </w:style>
  <w:style w:type="character" w:styleId="1103">
    <w:name w:val="Strong"/>
    <w:basedOn w:val="1127"/>
    <w:uiPriority w:val="22"/>
    <w:qFormat/>
    <w:pPr>
      <w:pBdr/>
      <w:spacing/>
      <w:ind/>
    </w:pPr>
    <w:rPr>
      <w:b/>
      <w:bCs/>
    </w:rPr>
  </w:style>
  <w:style w:type="character" w:styleId="1104">
    <w:name w:val="Subtle Reference"/>
    <w:basedOn w:val="11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5">
    <w:name w:val="Book Title"/>
    <w:basedOn w:val="112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06">
    <w:name w:val="Caption"/>
    <w:basedOn w:val="1117"/>
    <w:next w:val="11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07">
    <w:name w:val="footnote text"/>
    <w:basedOn w:val="1117"/>
    <w:link w:val="11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8">
    <w:name w:val="Footnote Text Char"/>
    <w:basedOn w:val="1127"/>
    <w:link w:val="1107"/>
    <w:uiPriority w:val="99"/>
    <w:semiHidden/>
    <w:pPr>
      <w:pBdr/>
      <w:spacing/>
      <w:ind/>
    </w:pPr>
    <w:rPr>
      <w:sz w:val="20"/>
      <w:szCs w:val="20"/>
    </w:rPr>
  </w:style>
  <w:style w:type="character" w:styleId="1109">
    <w:name w:val="footnote reference"/>
    <w:basedOn w:val="1127"/>
    <w:uiPriority w:val="99"/>
    <w:semiHidden/>
    <w:unhideWhenUsed/>
    <w:pPr>
      <w:pBdr/>
      <w:spacing/>
      <w:ind/>
    </w:pPr>
    <w:rPr>
      <w:vertAlign w:val="superscript"/>
    </w:rPr>
  </w:style>
  <w:style w:type="paragraph" w:styleId="1110">
    <w:name w:val="endnote text"/>
    <w:basedOn w:val="1117"/>
    <w:link w:val="11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1">
    <w:name w:val="Endnote Text Char"/>
    <w:basedOn w:val="1127"/>
    <w:link w:val="1110"/>
    <w:uiPriority w:val="99"/>
    <w:semiHidden/>
    <w:pPr>
      <w:pBdr/>
      <w:spacing/>
      <w:ind/>
    </w:pPr>
    <w:rPr>
      <w:sz w:val="20"/>
      <w:szCs w:val="20"/>
    </w:rPr>
  </w:style>
  <w:style w:type="character" w:styleId="1112">
    <w:name w:val="endnote reference"/>
    <w:basedOn w:val="1127"/>
    <w:uiPriority w:val="99"/>
    <w:semiHidden/>
    <w:unhideWhenUsed/>
    <w:pPr>
      <w:pBdr/>
      <w:spacing/>
      <w:ind/>
    </w:pPr>
    <w:rPr>
      <w:vertAlign w:val="superscript"/>
    </w:rPr>
  </w:style>
  <w:style w:type="character" w:styleId="1113">
    <w:name w:val="FollowedHyperlink"/>
    <w:basedOn w:val="11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114">
    <w:name w:val="Placeholder Text"/>
    <w:basedOn w:val="1127"/>
    <w:uiPriority w:val="99"/>
    <w:semiHidden/>
    <w:pPr>
      <w:pBdr/>
      <w:spacing/>
      <w:ind/>
    </w:pPr>
    <w:rPr>
      <w:color w:val="666666"/>
    </w:rPr>
  </w:style>
  <w:style w:type="paragraph" w:styleId="1115">
    <w:name w:val="TOC Heading"/>
    <w:uiPriority w:val="39"/>
    <w:unhideWhenUsed/>
    <w:pPr>
      <w:pBdr/>
      <w:spacing/>
      <w:ind/>
    </w:pPr>
  </w:style>
  <w:style w:type="paragraph" w:styleId="1116">
    <w:name w:val="table of figures"/>
    <w:basedOn w:val="1117"/>
    <w:next w:val="1117"/>
    <w:uiPriority w:val="99"/>
    <w:unhideWhenUsed/>
    <w:pPr>
      <w:pBdr/>
      <w:spacing w:after="0" w:afterAutospacing="0"/>
      <w:ind/>
    </w:pPr>
  </w:style>
  <w:style w:type="paragraph" w:styleId="1117" w:default="1">
    <w:name w:val="Normal"/>
    <w:qFormat/>
    <w:pPr>
      <w:pBdr/>
      <w:spacing/>
      <w:ind/>
    </w:pPr>
    <w:rPr>
      <w:lang w:val="es-DO"/>
    </w:rPr>
  </w:style>
  <w:style w:type="paragraph" w:styleId="1118">
    <w:name w:val="Heading 1"/>
    <w:basedOn w:val="1117"/>
    <w:next w:val="1117"/>
    <w:link w:val="113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19">
    <w:name w:val="Heading 2"/>
    <w:basedOn w:val="1117"/>
    <w:next w:val="1117"/>
    <w:link w:val="113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20">
    <w:name w:val="Heading 3"/>
    <w:basedOn w:val="1117"/>
    <w:next w:val="1117"/>
    <w:link w:val="113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21">
    <w:name w:val="Heading 4"/>
    <w:basedOn w:val="1117"/>
    <w:next w:val="1117"/>
    <w:link w:val="113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22">
    <w:name w:val="Heading 5"/>
    <w:basedOn w:val="1117"/>
    <w:next w:val="1117"/>
    <w:link w:val="113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23">
    <w:name w:val="Heading 6"/>
    <w:basedOn w:val="1117"/>
    <w:next w:val="1117"/>
    <w:link w:val="113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24">
    <w:name w:val="Heading 7"/>
    <w:basedOn w:val="1117"/>
    <w:next w:val="1117"/>
    <w:link w:val="113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25">
    <w:name w:val="Heading 8"/>
    <w:basedOn w:val="1117"/>
    <w:next w:val="1117"/>
    <w:link w:val="113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26">
    <w:name w:val="Heading 9"/>
    <w:basedOn w:val="1117"/>
    <w:next w:val="1117"/>
    <w:link w:val="113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27" w:default="1">
    <w:name w:val="Default Paragraph Font"/>
    <w:uiPriority w:val="1"/>
    <w:semiHidden/>
    <w:unhideWhenUsed/>
    <w:pPr>
      <w:pBdr/>
      <w:spacing/>
      <w:ind/>
    </w:pPr>
  </w:style>
  <w:style w:type="table" w:styleId="11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29" w:default="1">
    <w:name w:val="No List"/>
    <w:uiPriority w:val="99"/>
    <w:semiHidden/>
    <w:unhideWhenUsed/>
    <w:pPr>
      <w:pBdr/>
      <w:spacing/>
      <w:ind/>
    </w:pPr>
  </w:style>
  <w:style w:type="character" w:styleId="1130" w:customStyle="1">
    <w:name w:val="Heading 1 Char"/>
    <w:basedOn w:val="1127"/>
    <w:link w:val="111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31" w:customStyle="1">
    <w:name w:val="Heading 2 Char"/>
    <w:basedOn w:val="1127"/>
    <w:link w:val="111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32" w:customStyle="1">
    <w:name w:val="Heading 3 Char"/>
    <w:basedOn w:val="1127"/>
    <w:link w:val="112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33" w:customStyle="1">
    <w:name w:val="Heading 4 Char"/>
    <w:basedOn w:val="1127"/>
    <w:link w:val="112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34" w:customStyle="1">
    <w:name w:val="Heading 5 Char"/>
    <w:basedOn w:val="1127"/>
    <w:link w:val="112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35" w:customStyle="1">
    <w:name w:val="Heading 6 Char"/>
    <w:basedOn w:val="1127"/>
    <w:link w:val="112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36" w:customStyle="1">
    <w:name w:val="Heading 7 Char"/>
    <w:basedOn w:val="1127"/>
    <w:link w:val="112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37" w:customStyle="1">
    <w:name w:val="Heading 8 Char"/>
    <w:basedOn w:val="1127"/>
    <w:link w:val="112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38" w:customStyle="1">
    <w:name w:val="Heading 9 Char"/>
    <w:basedOn w:val="1127"/>
    <w:link w:val="112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39">
    <w:name w:val="Title"/>
    <w:basedOn w:val="1117"/>
    <w:next w:val="1117"/>
    <w:link w:val="114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40" w:customStyle="1">
    <w:name w:val="Title Char"/>
    <w:basedOn w:val="1127"/>
    <w:link w:val="113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41">
    <w:name w:val="Subtitle"/>
    <w:basedOn w:val="1117"/>
    <w:next w:val="1117"/>
    <w:link w:val="114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42" w:customStyle="1">
    <w:name w:val="Subtitle Char"/>
    <w:basedOn w:val="1127"/>
    <w:link w:val="114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43">
    <w:name w:val="Quote"/>
    <w:basedOn w:val="1117"/>
    <w:next w:val="1117"/>
    <w:link w:val="11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4" w:customStyle="1">
    <w:name w:val="Quote Char"/>
    <w:basedOn w:val="1127"/>
    <w:link w:val="114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45">
    <w:name w:val="List Paragraph"/>
    <w:basedOn w:val="1117"/>
    <w:uiPriority w:val="34"/>
    <w:qFormat/>
    <w:pPr>
      <w:pBdr/>
      <w:spacing/>
      <w:ind w:left="720"/>
      <w:contextualSpacing w:val="true"/>
    </w:pPr>
  </w:style>
  <w:style w:type="character" w:styleId="1146">
    <w:name w:val="Intense Emphasis"/>
    <w:basedOn w:val="11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47">
    <w:name w:val="Intense Quote"/>
    <w:basedOn w:val="1117"/>
    <w:next w:val="1117"/>
    <w:link w:val="11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48" w:customStyle="1">
    <w:name w:val="Intense Quote Char"/>
    <w:basedOn w:val="1127"/>
    <w:link w:val="11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49">
    <w:name w:val="Intense Reference"/>
    <w:basedOn w:val="11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50">
    <w:name w:val="Header"/>
    <w:basedOn w:val="1117"/>
    <w:link w:val="115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51" w:customStyle="1">
    <w:name w:val="Header Char"/>
    <w:basedOn w:val="1127"/>
    <w:link w:val="1150"/>
    <w:uiPriority w:val="99"/>
    <w:pPr>
      <w:pBdr/>
      <w:spacing/>
      <w:ind/>
    </w:pPr>
  </w:style>
  <w:style w:type="paragraph" w:styleId="1152">
    <w:name w:val="Footer"/>
    <w:basedOn w:val="1117"/>
    <w:link w:val="115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53" w:customStyle="1">
    <w:name w:val="Footer Char"/>
    <w:basedOn w:val="1127"/>
    <w:link w:val="1152"/>
    <w:uiPriority w:val="99"/>
    <w:pPr>
      <w:pBdr/>
      <w:spacing/>
      <w:ind/>
    </w:pPr>
  </w:style>
  <w:style w:type="table" w:styleId="1154">
    <w:name w:val="Table Grid"/>
    <w:basedOn w:val="112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5">
    <w:name w:val="toc 1"/>
    <w:basedOn w:val="1117"/>
    <w:next w:val="1117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56">
    <w:name w:val="toc 2"/>
    <w:basedOn w:val="1117"/>
    <w:next w:val="1117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57">
    <w:name w:val="toc 3"/>
    <w:basedOn w:val="1117"/>
    <w:next w:val="1117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58">
    <w:name w:val="toc 4"/>
    <w:basedOn w:val="1117"/>
    <w:next w:val="1117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59">
    <w:name w:val="toc 5"/>
    <w:basedOn w:val="1117"/>
    <w:next w:val="1117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60">
    <w:name w:val="toc 6"/>
    <w:basedOn w:val="1117"/>
    <w:next w:val="1117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61">
    <w:name w:val="toc 7"/>
    <w:basedOn w:val="1117"/>
    <w:next w:val="1117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62">
    <w:name w:val="toc 8"/>
    <w:basedOn w:val="1117"/>
    <w:next w:val="1117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63">
    <w:name w:val="toc 9"/>
    <w:basedOn w:val="1117"/>
    <w:next w:val="1117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64">
    <w:name w:val="Hyperlink"/>
    <w:basedOn w:val="112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65">
    <w:name w:val="Unresolved Mention"/>
    <w:basedOn w:val="112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603</cp:revision>
  <dcterms:created xsi:type="dcterms:W3CDTF">2026-05-11T20:07:00Z</dcterms:created>
  <dcterms:modified xsi:type="dcterms:W3CDTF">2026-10-23T00:56:05Z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