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67807CD" w14:textId="01EB8C41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0440D4A" w14:textId="44704FB6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AD66530" w14:textId="6CC0F34D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5F50A7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32EE84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2561E23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80BED2A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14DEC8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532D255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64A144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3B22675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DA63CC4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6F39FBE1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5B4A01D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F70DC98" w14:textId="4142C0C4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855247</wp:posOffset>
                </wp:positionH>
                <wp:positionV relativeFrom="paragraph">
                  <wp:posOffset>117475</wp:posOffset>
                </wp:positionV>
                <wp:extent cx="4079631" cy="1645920"/>
                <wp:effectExtent l="0" t="0" r="16510" b="1143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79631" cy="164592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08F825A9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PERACIÓN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32B8FD1F" w14:textId="7DC8602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7DD356CA" w14:textId="12CC9F3C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2FB57CFE" w14:textId="1F41D37E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6088EE9E" w14:textId="7777777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7.34pt;mso-position-horizontal:absolute;mso-position-vertical-relative:text;margin-top:9.25pt;mso-position-vertical:absolute;width:321.23pt;height:129.60pt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08F825A9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PERACIÓN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w14:paraId="32B8FD1F" w14:textId="7DC86027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w14:paraId="7DD356CA" w14:textId="12CC9F3C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w14:paraId="2FB57CFE" w14:textId="1F41D37E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w14:paraId="6088EE9E" w14:textId="77777777">
                      <w:pPr>
                        <w:pBdr/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7E39F2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30E562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98AC6F1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C514366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6A72FA8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29349F8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32683A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E9D0F86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CC456A8" w14:textId="76BA8AFC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0" w:name="aprobacion"/>
      <w:r>
        <w:rPr>
          <w:color w:val="000000" w:themeColor="text1"/>
        </w:rPr>
      </w:r>
      <w:bookmarkStart w:id="1" w:name="ap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D4B6343" w14:textId="1BFB4AF9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C80D921" w14:textId="77777777">
      <w:pPr>
        <w:pBdr/>
        <w:spacing/>
        <w:ind/>
        <w:rPr>
          <w:rFonts w:ascii="Tahoma" w:hAnsi="Tahoma" w:cs="Tahoma"/>
          <w:color w:val="000000" w:themeColor="text1"/>
          <w:sz w:val="2"/>
          <w:szCs w:val="2"/>
        </w:rPr>
      </w:pP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519607F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0997A8E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040B6D31" w14:textId="73C06A3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Analista Validaciones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48070E3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6244F77A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vis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71513BE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5475208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Martin Agüero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3554C877" w14:textId="2FFFB2F3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(Coordinador Validaciones)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2E496C8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319DB18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Revisado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24D6AA5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3F01085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6FB2D435" w14:textId="35B39445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Gerente de </w:t>
            </w:r>
            <w:r>
              <w:rPr>
                <w:rFonts w:ascii="Tahoma" w:hAnsi="Tahoma" w:cs="Tahoma"/>
                <w:color w:val="000000" w:themeColor="text1"/>
              </w:rPr>
              <w:t xml:space="preserve">Área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11C04E24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002EEA8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Aprobado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73B2377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52CC424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Noemí Terrero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74418907" w14:textId="292F100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(Gerente Gestion de Calidad)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7F3F99CA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1AA622A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9F71647" w14:textId="7998692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36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5FF5C3D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72673645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99D81E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3504FC3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1B4BE96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4A45C2B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714C16C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0F13063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21EBB8FD" w14:textId="69E5FB3D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B19A594" w14:textId="17314DF3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Describir las verificaciones y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riterios de evaluación utilizados para determinar que el equipo seleccionado, el proveedor y la configuración especificados pueden satisfacer las necesidades de cumplimiento para su uso previsto, según los requisitos del usuario y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55CBD16" w14:textId="1781B14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F69198B" w14:textId="37A16E43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modelo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Modelo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ubicad@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en el área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(Edificio cuarto)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24C6AB" w14:textId="742B13F2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68FE511" w14:textId="6C81087C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511FA6E" w14:textId="09B20E1D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C1222E" w14:textId="50E88A4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Ejecutar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5491ED8" w14:textId="5851897D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1312008" w14:textId="682AB28F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4A6AB65" w14:textId="560628F1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90A2F62" w14:textId="118FEA92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C8BFCF" w14:textId="0738F8FA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4E6E17A2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4277183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83A941E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512175" w14:textId="3B6DFD75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7C7871B4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3C53011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2" w:name="_Toc282179730"/>
      <w:r>
        <w:rPr>
          <w:color w:val="000000" w:themeColor="text1"/>
        </w:rPr>
      </w:r>
      <w:bookmarkStart w:id="3" w:name="_Toc274225318"/>
      <w:r>
        <w:rPr>
          <w:color w:val="000000" w:themeColor="text1"/>
        </w:rPr>
      </w:r>
      <w:bookmarkStart w:id="4" w:name="_Toc273518741"/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D1D03F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22ED315" w14:textId="381B9522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>
        <w:rPr>
          <w:color w:val="000000" w:themeColor="text1"/>
        </w:rPr>
      </w:r>
      <w:bookmarkEnd w:id="3"/>
      <w:r>
        <w:rPr>
          <w:color w:val="000000" w:themeColor="text1"/>
        </w:rPr>
      </w:r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6E78E71B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ADEDC8C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2BFE6EA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3B59005">
      <w:p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</w:p>
    <w:p w14:paraId="62458C3E" w14:textId="1721611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(SI APLICA)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02B9302" w14:textId="686B12D2">
      <w:pPr>
        <w:pStyle w:val="1127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F9A471E" w14:textId="0AEC8300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4006A37" w14:textId="64550DA6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Imagen del equipo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96159BC" w14:textId="421C077C">
      <w:pPr>
        <w:pStyle w:val="1127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0921F96" w14:textId="2B8CE472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7D6C2A4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FA2BD07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76E651A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151506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E0A4F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EBE2355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1736B06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054D3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4EC67F8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869ED8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FEBF81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CB9634F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D8D526C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9B0E5C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5B5357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8EDA332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92F765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A8A280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5ACD1B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FFF98B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27E5912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3217006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F009AF8" w14:textId="6084B24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574DFD0" w14:textId="009D0D86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75A96AE" w14:textId="441FE8CD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(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OQ) es la colección documentada de las actividades necesarias para demostrar que un instrumento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o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funcionará de acuerdo con su prueba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especificación operativa en el entorno seleccionado. OQ demuestra la aptitud para el uso seleccionado y debe reflejar los requisitos para el usuario (URS, por sus siglas en inglés). Las pruebas en la fase de OQ pueden constar de los siguientes parámetros.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91E2417" w14:textId="46784E1B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Funciones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resulte aplicable, la prueba de OQ debe incluir elementos críticos del software de la aplicación configurado para demostrar que el sistema entero trabaja según lo esperado.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Las funciones a analizar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serían aquellas aplicables a la adquisición captura de datos, al análisis de datos y al informe de resultados en las co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ndiciones reales de uso, así como a la seguridad, el control de acceso y el registro de auditoría. El usuario puede aplicar metodologías de evaluación de riesgos y puede aprovechar el análisis del software del proveedor para enfocarlo en las pruebas de OQ.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A065B1" w14:textId="2C0C6B09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Almacenamiento de datos, copia de seguridad (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Backup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) y archivado seguro: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corresponda, probar el manejo seguro de datos, tal como almacenamiento, copia de seguridad, registros de auditoría y archivado en el sitio del usuario, de acuerdo con los procedimientos escritos.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2F23A4F" w14:textId="3FAD6B36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Pruebas de las funciones del instrumento: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 funciones del instrumento requeridas por el usuario se deben probar para verificar que el instrumento funcione según lo previsto por el fabricante.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información proporcionada por el proveedor es útil para identificar las especificaciones de estos parámetros y para diseñar las pruebas para verificar que el instrumento cumple con las especificaciones del proveedor o del usuario en el entorno del usuario.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1B3C829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nivel de prueba de OQ al que se somete un instrumento depende de sus aplicaciones deseadas, por lo tanto, este capítulo no ofrece pruebas específicas de OQ para ningún instrumento o aplicación.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Los parámetros a calificar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 describen en los capítulos generales relacionados con una técnica analítica específica.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912901B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Las pruebas de OQ pueden ser modulares o integrales. Los análisis modulares de los componentes individuales de un sistema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pueden facilitar el intercambio de dichos componentes sin recalificación, pero se requiere una evaluación de riesgos para justificar este hecho. Las pruebas integrales, que involucran a todo el sistema, demuestran que el sistema entero cumple con los URS.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82F3307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Para los paquetes de prueba de OQ adquiridos a un proveedor de servicios o proveedor de materiales, el usuario debe revisar el material para asegurar que las pruebas tengan una base científica y cump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lan con las reglamentaciones aplicables. El usuario debe revisar los documentos antes de la ejecución y debe aprobar las pruebas después de la ejecución para asegurar la integridad y exactitud del documento completado y de los datos de la prueba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9B429BA" w14:textId="43641CF0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Configuración y/o personalización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odas las configuraciones y/o personalizaciones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 software del instrumento se deben realizar antes de la OQ y deben documentarse. A menos que se requieran cambios para pruebas de componentes específicos, la OQ debe realizarse usando la configuración de software que será usada para el análisis de rutina.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273CCD" w14:textId="1FE7043B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EVALUACIÓN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REQUISITOS PREVIO A LA CALIFICACIÓN DE OPERACIÓN: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2A94B0B" w14:textId="49A004C3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onfirmar la disponibilidad y vigencia de la documentación preliminar requerida para iniciar la calificación de operación del equipo, garantizando que todos los requisitos previos estén cumplidos.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969774" w14:textId="543BEC88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y verificar, conforme a lo establecido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que toda la documentación requerida (manuales, certificados, planos, registros de instalación, entre otros) se encuentre disponible, vigente y en conformidad con las especificaciones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9FA9D98" w14:textId="586406DE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listada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debe estar disponible, actualizada y completa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antes de iniciar la calificación de operación. En caso de aplicar, se debe contar con la evidencia documental que respalde cada requisito.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30"/>
        <w:gridCol w:w="6930"/>
        <w:gridCol w:w="2340"/>
      </w:tblGrid>
      <w:tr>
        <w:trPr>
          <w:trHeight w:val="479"/>
        </w:trPr>
        <w:tc>
          <w:tcPr>
            <w:shd w:val="clear" w:color="auto" w:fill="d9d9d9" w:themeFill="background1" w:themeFillShade="D9"/>
            <w:tcBorders/>
            <w:tcW w:w="1530" w:type="dxa"/>
            <w:vAlign w:val="center"/>
            <w:noWrap/>
          </w:tcPr>
          <w:p w14:paraId="43EA3A82" w14:textId="1072B93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Tabla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.2-1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930" w:type="dxa"/>
            <w:vAlign w:val="center"/>
            <w:noWrap/>
          </w:tcPr>
          <w:p w14:paraId="412AF26D" w14:textId="3352239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Evaluación 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de los Requisitos previo a la calificaci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ó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restart"/>
          </w:tcPr>
          <w:p w14:paraId="27A321AE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23A3C208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 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384FE122" w14:textId="40503906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530" w:type="dxa"/>
            <w:vAlign w:val="center"/>
            <w:noWrap/>
          </w:tcPr>
          <w:p w14:paraId="2A56B118" w14:textId="1BFC6DF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930" w:type="dxa"/>
            <w:vAlign w:val="center"/>
            <w:noWrap/>
          </w:tcPr>
          <w:p w14:paraId="4612E8F4" w14:textId="3BA418E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continue"/>
          </w:tcPr>
          <w:p w14:paraId="5E7FC18A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4EAA278" w14:textId="01A294C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38DECF2" w14:textId="0E79475C">
            <w:pPr>
              <w:pBdr/>
              <w:spacing w:after="120" w:before="120" w:line="240" w:lineRule="auto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76C7AF31" w14:textId="573EE56A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10117932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8750374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021401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44610AA" w14:textId="3B82332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E2C764D" w14:textId="5DB35888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Informe de IQ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AC352F9" w14:textId="344461C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2882929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7671931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255069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FE68226" w14:textId="79F0071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AC0F471" w14:textId="44583784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76E555D" w14:textId="5A93ADF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5484997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9032969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7965857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1AA7E39" w14:textId="04DD581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10182377" w14:textId="0756A231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Verificaciones funcionales sin el proceso en marcha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9153A04" w14:textId="39484C5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9231855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21338205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128609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BAFC34B" w14:textId="3904B38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247AFEAF" w14:textId="2198E01C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Conformidad con las especificaciones de operación recomendadas por el proveedor, tolerancia y límites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D89452F" w14:textId="377B2B1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263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35283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39385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6781549F" w14:textId="0B6FCA5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675F0365" w14:textId="00DA4F64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Especificaciones de evaluación de los parámetros críticos (niveles de alerta y de acción)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431239E5" w14:textId="7F2365C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3969391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1788171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953692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5420666" w14:textId="429C319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40FC5A56" w14:textId="5224722A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C226292" w14:textId="1195971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708199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51813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5915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1EBD12AD" w14:textId="3747EB8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5665BA02" w14:textId="5B3C8FFF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Capacitación documentada del personal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79DBF9D" w14:textId="0A52837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1696349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6263579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321336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F6F21EF" w14:textId="5ED80AD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575AFE7" w14:textId="7C9A0307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3EEA2834" w14:textId="64638457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3935069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4279292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37227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w14:paraId="5E363AFA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FE51A78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93C95F7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0D2329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0D46766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54D9C295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F7636CD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C88FEED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70D6A4C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89B2D32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63DBE50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F39788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AD2C1E5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32252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2652DA7" w14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3128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E955A1A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387338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81D5C1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964072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1D7225C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3F1F096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666084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9978796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520DBA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3D87D79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F07C66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CB2721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522597A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1D6FAA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48F126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5A957315" w14:textId="04CBDA25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4961DC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5E01482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13C6EC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67368D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489ED0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4A57E99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29D710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1D06225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F61175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AC9180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61CFD75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09A262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D30AE5E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4AAC40D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7596B1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9AFD43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3F71382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D79CC4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2ACBE7E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DB96834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5E9DDEA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B591FBC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121EA4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7EDDE5A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7DEB5DC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B43E0A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34AFE5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30EDE15B" w14:textId="5CAA50A0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0E6774FC" w14:textId="77777777">
      <w:pPr>
        <w:pStyle w:val="1127"/>
        <w:numPr>
          <w:ilvl w:val="2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asegurar 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1FF98A0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58F0AFE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BA57615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5AFEC3B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Anotar en la tabla correspondiente los datos de cada calibración, incluyendo: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9065CC9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422848E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Fabricante y modelo.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4406E4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Número de serie.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BC9215B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última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E1199AB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vencimiento.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4410778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Código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8FD8CF5" w14:textId="3C5E1717">
      <w:pPr>
        <w:pStyle w:val="1127"/>
        <w:numPr>
          <w:ilvl w:val="2"/>
          <w:numId w:val="2"/>
        </w:numPr>
        <w:pBdr/>
        <w:tabs>
          <w:tab w:val="left" w:leader="none" w:pos="-90"/>
          <w:tab w:val="left" w:leader="none" w:pos="45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2156233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9653E81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C1BBDFD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información registrada en la tabla correspondiente coincide con los datos de los certificados de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F549F07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DD86A77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12167B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6DFD120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9A33B3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FA274C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D720FDC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55328B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C995B7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3F99929A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-1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2ECBC10C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591EDF37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1F691D52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7DDC92E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3820C8C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060D119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585AD7EA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8EA447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2560E13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5646B91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E42DC5C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</w:tr>
    </w:tbl>
    <w:p w14:paraId="4035E9CD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364"/>
        <w:gridCol w:w="1530"/>
        <w:gridCol w:w="333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615" w:type="dxa"/>
            <w:vAlign w:val="center"/>
          </w:tcPr>
          <w:p w14:paraId="7A7B1C8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0834AA6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7D3AE33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6309901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94" w:type="dxa"/>
            <w:vAlign w:val="center"/>
          </w:tcPr>
          <w:p w14:paraId="0ECEC9F3" w14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9386378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E2626A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6542044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52BAD5B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610" w:type="dxa"/>
            <w:vAlign w:val="center"/>
          </w:tcPr>
          <w:p w14:paraId="64A5FBE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4EBE147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330" w:type="dxa"/>
            <w:vAlign w:val="center"/>
          </w:tcPr>
          <w:p w14:paraId="6D2374D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647862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52574983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615" w:type="dxa"/>
            <w:vAlign w:val="center"/>
          </w:tcPr>
          <w:p w14:paraId="7079B65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2597E12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48E79B06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5BE20CD2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B97A3AE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CEE8BA7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854052A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097238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860" w:type="dxa"/>
            <w:vAlign w:val="center"/>
          </w:tcPr>
          <w:p w14:paraId="113A78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5A0098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79B845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043021A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5887BD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D3874E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9EA1B9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6531168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739BBA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429507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2FADBCD4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0E2326BB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1A15541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17BC50A1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5D5854A1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1CE78CAC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4218070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69EDC55C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3A560571" w14:textId="7E85FBAB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MODELO DE ENSAYO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11B9A6B" w14:textId="3B0F718E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36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verificar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que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función, parámetro operativo o característica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 objeto del ensayo opera de acuerdo con las especificaciones establecidas por el fabricante, los requerimientos del usuario y los criterios definidos para el proceso, demostrando su correcto desempeño bajo condiciones normales de operación.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BF20300" w14:textId="0AE01461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A28CD1C" w14:textId="38CE8B44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Desarrollar un procedimiento bien detallado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el paso a paso del ensayo considerando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manera general de las necesidades.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F83CE25" w14:textId="1CDC52BC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169184B" w14:textId="056AE8B2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criterios de aceptación detallados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con su tolerancia y rango.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2ADD59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Nota 1: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si el equipo entrega datos digitales, se deben procesar directamente y descargar la data cruda y anexarla al reporte estadísticos como parte del proceso.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71E9A53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2B4DFF3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689D201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7873E30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CB2AEE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DB6AB11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F6ED0E0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A573652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C7C692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E2EF6E9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19D7544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F7F2855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D8A4A68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7B9D107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E616991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504CA7C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2FD01AB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C40137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46BBEC7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F3D958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A235994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42BC0B5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15A34D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6B2CF10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5D9A5D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11917B3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491C692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DD988B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Style w:val="1136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2DD99212" w14:textId="1F2AA29D">
            <w:pPr>
              <w:pStyle w:val="1127"/>
              <w:pBdr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0EC58599" w14:textId="0772D415">
            <w:pPr>
              <w:pStyle w:val="1127"/>
              <w:pBdr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4AA2F5E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68BF948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708A83B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22ADDC4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18A6545" w14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012CF080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34130FF4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A57D8FC" w14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52AC1E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A1E91E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679053B" w14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ACAC55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55C2C91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26A1E7" w14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3F196F2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4DC9DD38" w14:textId="3CC9BE5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54389412" w14:textId="1A6200EA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19955181" w14:textId="4177576E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06488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A4F4888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E9E9380" w14:textId="5B3EE139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48D6659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F9C3DC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7FB904E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2934173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6428FC7" w14:textId="16533F5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2928535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A0D19C5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3A27A6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7EBD1C9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CDBD1DA" w14:textId="12B2D610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80E7D2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EE301CD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5C8F2C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69D89A9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4B6D17E" w14:textId="71CAE04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8F91F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72E047C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12DEE2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ED8F04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387D6A5" w14:textId="0F0AF40A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4270E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8F121C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AAD34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4B64D84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0C8B013" w14:textId="3240DB02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178AC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8334E14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3473D3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E5A3B85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6AA253F" w14:textId="7D1E981E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5863CA1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74D876A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450AEE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729EE66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AB863D" w14:textId="19BEA02D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5499B1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3CEAAE6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F1D9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BAF994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A992026" w14:textId="411399C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F733157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138A0C9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7D12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ACA4372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C8A65A7" w14:textId="27FECF9E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46A671A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102031A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53DA7D4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5844872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DC0187" w14:textId="756FAAF3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9334FC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088D79E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CC49D1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B876D51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57970CC" w14:textId="57FE223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E94109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570EAE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7F1A59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261A6BD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5EDE53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B226DF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E0AE6A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9DB737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E70907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7ABC1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6DB42A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46DE329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604E949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D6736D8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BAFDF87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7652008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51EF69E" w14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42426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E7C4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27771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195C28F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7F9D345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CEEFEC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07B0B8E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05335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2117016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4F7BB91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EF6579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67AE5B9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2C1E25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435AB5C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720EDB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0C132B5B" w14:textId="291A2BE3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1E969F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4292D79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733EE4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E48841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EFF401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714A89D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A4B79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924322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CA536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393AAD6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34DED17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33EC32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F34C91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6021A34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75FF98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A37057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12B7AFC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B99D9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707228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A1270E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5326A4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45A9E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6D45C9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82ED680" w14:textId="6443DB5A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7020"/>
        <w:gridCol w:w="207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56E0E1E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Tabla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7.11-1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7020" w:type="dxa"/>
            <w:vAlign w:val="center"/>
            <w:noWrap/>
          </w:tcPr>
          <w:p w14:paraId="4922CF41" w14:textId="2DF75D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Resumen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5E37C68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1CC8F50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7020" w:type="dxa"/>
            <w:vAlign w:val="center"/>
            <w:noWrap/>
          </w:tcPr>
          <w:p w14:paraId="44A69FCD" w14:textId="087B635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7B16E38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1DCB362" w14:textId="2D63C96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3D83BC" w14:textId="31B1EBF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hint="eastAsia" w:ascii="MS Gothic" w:hAnsi="MS Gothic" w:eastAsia="MS Gothic" w:cs="Tahoma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DD768A9" w14:textId="6831D22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DF5AE37" w14:textId="26D02F37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1C3BA7CC" w14:textId="5A58E1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5CA0A30" w14:textId="4ED49C0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2A3A007" w14:textId="1EDBBDC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E7D33ED" w14:textId="0B15A10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DEDEFE5" w14:textId="6F0B831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163FDCA" w14:textId="37C9779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0E6773C" w14:textId="27B1958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B677F6" w14:textId="088E645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EDB7502" w14:textId="62C2131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7B1DEFC9" w14:textId="32C867C1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605EE8B9" w14:textId="4A642CC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44D174E" w14:textId="70805152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w14:paraId="4E4B8538" w14:textId="77777777">
      <w:pPr>
        <w:pBdr/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75908C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DB265E7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2FFC1DF8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1AEA7A45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4C0FB3FB" w14:textId="6DFD8E1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BD146AE" w14:textId="0993B61A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480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80" w:type="dxa"/>
            <w:vAlign w:val="center"/>
          </w:tcPr>
          <w:p w14:paraId="102640F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C5FDBD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5111B48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85BF6D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D38B0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940106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07EE3B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A6F5AD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7081E8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5E59CDC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9C53D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28496C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6E7927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3DE4267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E9A790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2107C6D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3E96F4A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</w:tbl>
    <w:p w14:paraId="3198308F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168090F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78DAE1C" w14:textId="11EDB82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1058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 CALIFICACIÓN DE INSTRUMENTOS ANALÍTICOS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11961274" w14:textId="338D46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454EB798" w14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6E9BD2" w14:textId="22A9E6BE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36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2CA1A30A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01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1127"/>
              <w:numPr>
                <w:ilvl w:val="0"/>
                <w:numId w:val="3"/>
              </w:numPr>
              <w:pBdr/>
              <w:spacing/>
              <w:ind w:left="345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17D90DA5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33A7B0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7AF6DC1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S Gothic">
    <w:panose1 w:val="020B06090303040B0204"/>
  </w:font>
  <w:font w:name="Segoe UI Symbol">
    <w:panose1 w:val="020B050204050402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pBdr/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E1F2FD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CC65CA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36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1132"/>
            <w:pBdr/>
            <w:spacing w:before="360"/>
            <w:ind w:left="972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Calibri" w:hAnsi="Calibri" w:cs="Calibri"/>
              <w:b/>
              <w:bCs/>
              <w:color w:val="000000" w:themeColor="text1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color w:val="000000" w:themeColor="text1"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D659469" w14:textId="6DB28E23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8283B0A" w14:textId="76D48E9C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1132"/>
            <w:pBdr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A662118" w14:textId="4CBF853E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B10502A" w14:textId="51296E9C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1132"/>
            <w:pBdr/>
            <w:spacing/>
            <w:ind/>
            <w:rPr>
              <w:rFonts w:ascii="Tahoma" w:hAnsi="Tahoma" w:cs="Tahoma"/>
              <w:color w:val="000000" w:themeColor="text1"/>
              <w:sz w:val="16"/>
              <w:szCs w:val="16"/>
            </w:rPr>
          </w:pP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</w:p>
        <w:p w14:paraId="513D5E4D" w14:textId="3D380F7F">
          <w:pPr>
            <w:pStyle w:val="1132"/>
            <w:pBdr/>
            <w:spacing w:after="120" w:before="120"/>
            <w:ind/>
            <w:jc w:val="center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Tahoma" w:hAnsi="Tahoma" w:cs="Tahoma"/>
              <w:b/>
              <w:bCs/>
              <w:color w:val="000000" w:themeColor="text1"/>
            </w:rPr>
            <w:t xml:space="preserve">CALIFICACION DE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PERACIÓN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SIN MARCA NI MODELO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</w:tr>
  </w:tbl>
  <w:p w14:paraId="5BF62218" w14:textId="77777777">
    <w:pPr>
      <w:pStyle w:val="1132"/>
      <w:pBdr/>
      <w:spacing/>
      <w:ind/>
      <w:rPr>
        <w:color w:val="000000" w:themeColor="text1"/>
        <w:sz w:val="6"/>
        <w:szCs w:val="6"/>
      </w:rPr>
    </w:pP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5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  <w:color w:val="0d0d0d" w:themeColor="text1" w:themeTint="F2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8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0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57">
    <w:name w:val="Table Grid Light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Plain Table 1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Plain Table 2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Plain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Plain Table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Plain Table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1 Light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1 Light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1 Light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1 Light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1 Light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1 Light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1 Light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2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2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2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2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2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2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3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3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3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3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3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3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4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4 - Accent 1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4 - Accent 2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4 - Accent 3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4 - Accent 4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4 - Accent 5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4 - Accent 6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5 Dark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5 Dark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5 Dark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5 Dark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5 Dark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5 Dark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5 Dark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6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6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6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6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6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6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6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7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7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7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7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7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7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7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1 Light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1 Light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1 Light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1 Light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1 Light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1 Light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1 Light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2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2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2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2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2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2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3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3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3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3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3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3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4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4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4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4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4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4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5 Dark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5 Dark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5 Dark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5 Dark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5 Dark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5 Dark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5 Dark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6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6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6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6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6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6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6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7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7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7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7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7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7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7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ned - Accent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ned - Accent 1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ned - Accent 2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ned - Accent 3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ned - Accent 4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ned - Accent 5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ned - Accent 6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Bordered &amp; Lined - Accent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Bordered &amp; Lined - Accent 1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Bordered &amp; Lined - Accent 2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Bordered &amp; Lined - Accent 3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Bordered &amp; Lined - Accent 4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Bordered &amp; Lined - Accent 5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Bordered &amp; Lined - Accent 6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Bordered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Bordered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Bordered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Bordered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Bordered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Bordered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Bordered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2">
    <w:name w:val="No Spacing"/>
    <w:basedOn w:val="1099"/>
    <w:uiPriority w:val="1"/>
    <w:qFormat/>
    <w:pPr>
      <w:pBdr/>
      <w:spacing w:after="0" w:line="240" w:lineRule="auto"/>
      <w:ind/>
    </w:pPr>
  </w:style>
  <w:style w:type="character" w:styleId="1083">
    <w:name w:val="Subtle Emphasis"/>
    <w:basedOn w:val="11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84">
    <w:name w:val="Emphasis"/>
    <w:basedOn w:val="1109"/>
    <w:uiPriority w:val="20"/>
    <w:qFormat/>
    <w:pPr>
      <w:pBdr/>
      <w:spacing/>
      <w:ind/>
    </w:pPr>
    <w:rPr>
      <w:i/>
      <w:iCs/>
    </w:rPr>
  </w:style>
  <w:style w:type="character" w:styleId="1085">
    <w:name w:val="Strong"/>
    <w:basedOn w:val="1109"/>
    <w:uiPriority w:val="22"/>
    <w:qFormat/>
    <w:pPr>
      <w:pBdr/>
      <w:spacing/>
      <w:ind/>
    </w:pPr>
    <w:rPr>
      <w:b/>
      <w:bCs/>
    </w:rPr>
  </w:style>
  <w:style w:type="character" w:styleId="1086">
    <w:name w:val="Subtle Reference"/>
    <w:basedOn w:val="11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87">
    <w:name w:val="Book Title"/>
    <w:basedOn w:val="110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88">
    <w:name w:val="Caption"/>
    <w:basedOn w:val="1099"/>
    <w:next w:val="109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89">
    <w:name w:val="footnote text"/>
    <w:basedOn w:val="1099"/>
    <w:link w:val="10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0">
    <w:name w:val="Footnote Text Char"/>
    <w:basedOn w:val="1109"/>
    <w:link w:val="1089"/>
    <w:uiPriority w:val="99"/>
    <w:semiHidden/>
    <w:pPr>
      <w:pBdr/>
      <w:spacing/>
      <w:ind/>
    </w:pPr>
    <w:rPr>
      <w:sz w:val="20"/>
      <w:szCs w:val="20"/>
    </w:rPr>
  </w:style>
  <w:style w:type="character" w:styleId="1091">
    <w:name w:val="footnote reference"/>
    <w:basedOn w:val="1109"/>
    <w:uiPriority w:val="99"/>
    <w:semiHidden/>
    <w:unhideWhenUsed/>
    <w:pPr>
      <w:pBdr/>
      <w:spacing/>
      <w:ind/>
    </w:pPr>
    <w:rPr>
      <w:vertAlign w:val="superscript"/>
    </w:rPr>
  </w:style>
  <w:style w:type="paragraph" w:styleId="1092">
    <w:name w:val="endnote text"/>
    <w:basedOn w:val="1099"/>
    <w:link w:val="10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3">
    <w:name w:val="Endnote Text Char"/>
    <w:basedOn w:val="1109"/>
    <w:link w:val="1092"/>
    <w:uiPriority w:val="99"/>
    <w:semiHidden/>
    <w:pPr>
      <w:pBdr/>
      <w:spacing/>
      <w:ind/>
    </w:pPr>
    <w:rPr>
      <w:sz w:val="20"/>
      <w:szCs w:val="20"/>
    </w:rPr>
  </w:style>
  <w:style w:type="character" w:styleId="1094">
    <w:name w:val="endnote reference"/>
    <w:basedOn w:val="1109"/>
    <w:uiPriority w:val="99"/>
    <w:semiHidden/>
    <w:unhideWhenUsed/>
    <w:pPr>
      <w:pBdr/>
      <w:spacing/>
      <w:ind/>
    </w:pPr>
    <w:rPr>
      <w:vertAlign w:val="superscript"/>
    </w:rPr>
  </w:style>
  <w:style w:type="character" w:styleId="1095">
    <w:name w:val="FollowedHyperlink"/>
    <w:basedOn w:val="11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096">
    <w:name w:val="Placeholder Text"/>
    <w:basedOn w:val="1109"/>
    <w:uiPriority w:val="99"/>
    <w:semiHidden/>
    <w:pPr>
      <w:pBdr/>
      <w:spacing/>
      <w:ind/>
    </w:pPr>
    <w:rPr>
      <w:color w:val="666666"/>
    </w:rPr>
  </w:style>
  <w:style w:type="paragraph" w:styleId="1097">
    <w:name w:val="TOC Heading"/>
    <w:uiPriority w:val="39"/>
    <w:unhideWhenUsed/>
    <w:pPr>
      <w:pBdr/>
      <w:spacing/>
      <w:ind/>
    </w:pPr>
  </w:style>
  <w:style w:type="paragraph" w:styleId="1098">
    <w:name w:val="table of figures"/>
    <w:basedOn w:val="1099"/>
    <w:next w:val="1099"/>
    <w:uiPriority w:val="99"/>
    <w:unhideWhenUsed/>
    <w:pPr>
      <w:pBdr/>
      <w:spacing w:after="0" w:afterAutospacing="0"/>
      <w:ind/>
    </w:pPr>
  </w:style>
  <w:style w:type="paragraph" w:styleId="1099" w:default="1">
    <w:name w:val="Normal"/>
    <w:qFormat/>
    <w:pPr>
      <w:pBdr/>
      <w:spacing/>
      <w:ind/>
    </w:pPr>
    <w:rPr>
      <w:lang w:val="es-DO"/>
    </w:rPr>
  </w:style>
  <w:style w:type="paragraph" w:styleId="1100">
    <w:name w:val="Heading 1"/>
    <w:basedOn w:val="1099"/>
    <w:next w:val="1099"/>
    <w:link w:val="111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01">
    <w:name w:val="Heading 2"/>
    <w:basedOn w:val="1099"/>
    <w:next w:val="1099"/>
    <w:link w:val="111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102">
    <w:name w:val="Heading 3"/>
    <w:basedOn w:val="1099"/>
    <w:next w:val="1099"/>
    <w:link w:val="111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103">
    <w:name w:val="Heading 4"/>
    <w:basedOn w:val="1099"/>
    <w:next w:val="1099"/>
    <w:link w:val="111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104">
    <w:name w:val="Heading 5"/>
    <w:basedOn w:val="1099"/>
    <w:next w:val="1099"/>
    <w:link w:val="111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105">
    <w:name w:val="Heading 6"/>
    <w:basedOn w:val="1099"/>
    <w:next w:val="1099"/>
    <w:link w:val="111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106">
    <w:name w:val="Heading 7"/>
    <w:basedOn w:val="1099"/>
    <w:next w:val="1099"/>
    <w:link w:val="111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107">
    <w:name w:val="Heading 8"/>
    <w:basedOn w:val="1099"/>
    <w:next w:val="1099"/>
    <w:link w:val="111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108">
    <w:name w:val="Heading 9"/>
    <w:basedOn w:val="1099"/>
    <w:next w:val="1099"/>
    <w:link w:val="112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109" w:default="1">
    <w:name w:val="Default Paragraph Font"/>
    <w:uiPriority w:val="1"/>
    <w:semiHidden/>
    <w:unhideWhenUsed/>
    <w:pPr>
      <w:pBdr/>
      <w:spacing/>
      <w:ind/>
    </w:pPr>
  </w:style>
  <w:style w:type="table" w:styleId="11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11" w:default="1">
    <w:name w:val="No List"/>
    <w:uiPriority w:val="99"/>
    <w:semiHidden/>
    <w:unhideWhenUsed/>
    <w:pPr>
      <w:pBdr/>
      <w:spacing/>
      <w:ind/>
    </w:pPr>
  </w:style>
  <w:style w:type="character" w:styleId="1112" w:customStyle="1">
    <w:name w:val="Heading 1 Char"/>
    <w:basedOn w:val="1109"/>
    <w:link w:val="110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113" w:customStyle="1">
    <w:name w:val="Heading 2 Char"/>
    <w:basedOn w:val="1109"/>
    <w:link w:val="110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114" w:customStyle="1">
    <w:name w:val="Heading 3 Char"/>
    <w:basedOn w:val="1109"/>
    <w:link w:val="110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115" w:customStyle="1">
    <w:name w:val="Heading 4 Char"/>
    <w:basedOn w:val="1109"/>
    <w:link w:val="110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116" w:customStyle="1">
    <w:name w:val="Heading 5 Char"/>
    <w:basedOn w:val="1109"/>
    <w:link w:val="110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117" w:customStyle="1">
    <w:name w:val="Heading 6 Char"/>
    <w:basedOn w:val="1109"/>
    <w:link w:val="110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118" w:customStyle="1">
    <w:name w:val="Heading 7 Char"/>
    <w:basedOn w:val="1109"/>
    <w:link w:val="110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119" w:customStyle="1">
    <w:name w:val="Heading 8 Char"/>
    <w:basedOn w:val="1109"/>
    <w:link w:val="110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120" w:customStyle="1">
    <w:name w:val="Heading 9 Char"/>
    <w:basedOn w:val="1109"/>
    <w:link w:val="110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121">
    <w:name w:val="Title"/>
    <w:basedOn w:val="1099"/>
    <w:next w:val="1099"/>
    <w:link w:val="1122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122" w:customStyle="1">
    <w:name w:val="Title Char"/>
    <w:basedOn w:val="1109"/>
    <w:link w:val="112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123">
    <w:name w:val="Subtitle"/>
    <w:basedOn w:val="1099"/>
    <w:next w:val="1099"/>
    <w:link w:val="1124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124" w:customStyle="1">
    <w:name w:val="Subtitle Char"/>
    <w:basedOn w:val="1109"/>
    <w:link w:val="112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125">
    <w:name w:val="Quote"/>
    <w:basedOn w:val="1099"/>
    <w:next w:val="1099"/>
    <w:link w:val="112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26" w:customStyle="1">
    <w:name w:val="Quote Char"/>
    <w:basedOn w:val="1109"/>
    <w:link w:val="112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27">
    <w:name w:val="List Paragraph"/>
    <w:basedOn w:val="1099"/>
    <w:uiPriority w:val="34"/>
    <w:qFormat/>
    <w:pPr>
      <w:pBdr/>
      <w:spacing/>
      <w:ind w:left="720"/>
      <w:contextualSpacing w:val="true"/>
    </w:pPr>
  </w:style>
  <w:style w:type="character" w:styleId="1128">
    <w:name w:val="Intense Emphasis"/>
    <w:basedOn w:val="11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29">
    <w:name w:val="Intense Quote"/>
    <w:basedOn w:val="1099"/>
    <w:next w:val="1099"/>
    <w:link w:val="11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30" w:customStyle="1">
    <w:name w:val="Intense Quote Char"/>
    <w:basedOn w:val="1109"/>
    <w:link w:val="11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31">
    <w:name w:val="Intense Reference"/>
    <w:basedOn w:val="11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32">
    <w:name w:val="Header"/>
    <w:basedOn w:val="1099"/>
    <w:link w:val="113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33" w:customStyle="1">
    <w:name w:val="Header Char"/>
    <w:basedOn w:val="1109"/>
    <w:link w:val="1132"/>
    <w:uiPriority w:val="99"/>
    <w:pPr>
      <w:pBdr/>
      <w:spacing/>
      <w:ind/>
    </w:pPr>
  </w:style>
  <w:style w:type="paragraph" w:styleId="1134">
    <w:name w:val="Footer"/>
    <w:basedOn w:val="1099"/>
    <w:link w:val="113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35" w:customStyle="1">
    <w:name w:val="Footer Char"/>
    <w:basedOn w:val="1109"/>
    <w:link w:val="1134"/>
    <w:uiPriority w:val="99"/>
    <w:pPr>
      <w:pBdr/>
      <w:spacing/>
      <w:ind/>
    </w:pPr>
  </w:style>
  <w:style w:type="table" w:styleId="1136">
    <w:name w:val="Table Grid"/>
    <w:basedOn w:val="111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37">
    <w:name w:val="toc 1"/>
    <w:basedOn w:val="1099"/>
    <w:next w:val="1099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1138">
    <w:name w:val="toc 2"/>
    <w:basedOn w:val="1099"/>
    <w:next w:val="1099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1139">
    <w:name w:val="toc 3"/>
    <w:basedOn w:val="1099"/>
    <w:next w:val="1099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1140">
    <w:name w:val="toc 4"/>
    <w:basedOn w:val="1099"/>
    <w:next w:val="1099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1141">
    <w:name w:val="toc 5"/>
    <w:basedOn w:val="1099"/>
    <w:next w:val="1099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1142">
    <w:name w:val="toc 6"/>
    <w:basedOn w:val="1099"/>
    <w:next w:val="1099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1143">
    <w:name w:val="toc 7"/>
    <w:basedOn w:val="1099"/>
    <w:next w:val="1099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1144">
    <w:name w:val="toc 8"/>
    <w:basedOn w:val="1099"/>
    <w:next w:val="1099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145">
    <w:name w:val="toc 9"/>
    <w:basedOn w:val="1099"/>
    <w:next w:val="1099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146">
    <w:name w:val="Hyperlink"/>
    <w:basedOn w:val="110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147">
    <w:name w:val="Unresolved Mention"/>
    <w:basedOn w:val="1109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601</cp:revision>
  <dcterms:created xsi:type="dcterms:W3CDTF">2026-05-11T20:07:00Z</dcterms:created>
  <dcterms:modified xsi:type="dcterms:W3CDTF">2026-10-03T23:57:17Z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