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com obstruções significativas.</w:t>
      </w:r>
    </w:p>
    <w:p>
      <w:r>
        <w:t>Coronária Descendente Anterior: Obstruções significativas presentes.</w:t>
      </w:r>
    </w:p>
    <w:p>
      <w:r>
        <w:t>Coronária Circunflexa: Obstruções significativas presentes.</w:t>
      </w:r>
    </w:p>
    <w:p>
      <w:r>
        <w:t>Coronária Direita: Dominante, livre de obstruções. Ramo ventricular posterior e ramo descendente posterior livres de obstruções.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 xml:space="preserve">Valva mitral competente. Ausência de gradiente entre o ventrículo esquerdo e aorta. </w:t>
      </w:r>
    </w:p>
    <w:p>
      <w:r>
        <w:t>CONCLUSÃO:</w:t>
      </w:r>
    </w:p>
    <w:p>
      <w:r>
        <w:t>Tronco da coronária esquerda com doença obstrutiva importante.</w:t>
      </w:r>
    </w:p>
    <w:p>
      <w:r>
        <w:t>Coronariopatia obstrutiva em artéria descendente anterior e artéria circunflexa.</w:t>
      </w:r>
    </w:p>
    <w:p>
      <w:r>
        <w:t>Função sistólica global do ventrículo esquerdo preservada.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