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975" w:rsidRPr="00635975" w:rsidRDefault="00635975" w:rsidP="00635975">
      <w:pPr>
        <w:spacing w:before="100" w:beforeAutospacing="1" w:after="100" w:afterAutospacing="1" w:line="240" w:lineRule="auto"/>
        <w:outlineLvl w:val="0"/>
        <w:rPr>
          <w:rFonts w:ascii="Lato" w:eastAsia="Times New Roman" w:hAnsi="Lato" w:cs="Times New Roman"/>
          <w:b/>
          <w:bCs/>
          <w:kern w:val="36"/>
          <w:sz w:val="36"/>
          <w:szCs w:val="48"/>
          <w:lang w:eastAsia="es-AR"/>
        </w:rPr>
      </w:pPr>
      <w:r w:rsidRPr="00635975">
        <w:rPr>
          <w:rFonts w:ascii="Lato" w:eastAsia="Times New Roman" w:hAnsi="Lato" w:cs="Times New Roman"/>
          <w:b/>
          <w:bCs/>
          <w:kern w:val="36"/>
          <w:sz w:val="36"/>
          <w:szCs w:val="48"/>
          <w:lang w:eastAsia="es-AR"/>
        </w:rPr>
        <w:t xml:space="preserve">Proyecto </w:t>
      </w:r>
      <w:proofErr w:type="spellStart"/>
      <w:r w:rsidRPr="00635975">
        <w:rPr>
          <w:rFonts w:ascii="Lato" w:eastAsia="Times New Roman" w:hAnsi="Lato" w:cs="Times New Roman"/>
          <w:b/>
          <w:bCs/>
          <w:kern w:val="36"/>
          <w:sz w:val="36"/>
          <w:szCs w:val="48"/>
          <w:lang w:eastAsia="es-AR"/>
        </w:rPr>
        <w:t>Ituran</w:t>
      </w:r>
      <w:proofErr w:type="spellEnd"/>
      <w:r w:rsidRPr="00635975">
        <w:rPr>
          <w:rFonts w:ascii="Lato" w:eastAsia="Times New Roman" w:hAnsi="Lato" w:cs="Times New Roman"/>
          <w:b/>
          <w:bCs/>
          <w:kern w:val="36"/>
          <w:sz w:val="36"/>
          <w:szCs w:val="48"/>
          <w:lang w:eastAsia="es-AR"/>
        </w:rPr>
        <w:t xml:space="preserve"> – Análisis de eficiencia en asignación de técnicos</w:t>
      </w:r>
      <w:bookmarkStart w:id="0" w:name="_GoBack"/>
      <w:bookmarkEnd w:id="0"/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1. Contexto y objetivo general</w: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Contexto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La organización dispone de múltiples fuentes de información relacionadas con:</w:t>
      </w:r>
    </w:p>
    <w:p w:rsidR="00635975" w:rsidRPr="00635975" w:rsidRDefault="00635975" w:rsidP="0063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la gestión operativa de órdenes técnicas</w:t>
      </w:r>
    </w:p>
    <w:p w:rsidR="00635975" w:rsidRPr="00635975" w:rsidRDefault="00635975" w:rsidP="0063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la ubicación y movimiento de los móviles (vehículos)</w:t>
      </w:r>
    </w:p>
    <w:p w:rsidR="00635975" w:rsidRPr="00635975" w:rsidRDefault="00635975" w:rsidP="0063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la asignación de móviles a técnicos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Históricamente, estas fuentes se han utilizado de forma aislada, lo que dificulta responder preguntas transversales que involucren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tiempo, espacio y responsabilidad operativa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Este proyecto nace ante la necesidad de responder consultas de negocio de forma ágil, pero con fundamento técnico sólido, evitando análisis ad-hoc difíciles de auditar o reproducir.</w: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Objetivo general del modelo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Construir una base de datos confiable y temporalmente consistente que permita analizar la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eficiencia geográfica en la asignación de órdenes técnicas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, cruzando:</w:t>
      </w:r>
    </w:p>
    <w:p w:rsidR="00635975" w:rsidRPr="00635975" w:rsidRDefault="00635975" w:rsidP="0063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movimientos reales de los móviles</w:t>
      </w:r>
    </w:p>
    <w:p w:rsidR="00635975" w:rsidRPr="00635975" w:rsidRDefault="00635975" w:rsidP="0063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técnicos responsables en cada momento</w:t>
      </w:r>
    </w:p>
    <w:p w:rsidR="00635975" w:rsidRPr="00635975" w:rsidRDefault="00635975" w:rsidP="0063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ubicación de las órdenes técnicas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El objetivo no se limita a responder una pregunta puntual actual, sino a:</w:t>
      </w:r>
    </w:p>
    <w:p w:rsidR="00635975" w:rsidRPr="00635975" w:rsidRDefault="00635975" w:rsidP="00635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habilitar análisis históricos</w:t>
      </w:r>
    </w:p>
    <w:p w:rsidR="00635975" w:rsidRPr="00635975" w:rsidRDefault="00635975" w:rsidP="00635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permitir auditorías posteriores</w:t>
      </w:r>
    </w:p>
    <w:p w:rsidR="00635975" w:rsidRPr="00635975" w:rsidRDefault="00635975" w:rsidP="00635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reutilizar el modelo para nuevos casos operativos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2. Fuentes de datos involucradas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 xml:space="preserve">2.1 </w:t>
      </w:r>
      <w:proofErr w:type="spellStart"/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Ituran</w:t>
      </w:r>
      <w:proofErr w:type="spellEnd"/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 xml:space="preserve"> – Movimientos de móviles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Fuente con alta granularidad que registra:</w:t>
      </w:r>
    </w:p>
    <w:p w:rsidR="00635975" w:rsidRPr="00635975" w:rsidRDefault="00635975" w:rsidP="006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cada movimiento de una patente</w:t>
      </w:r>
    </w:p>
    <w:p w:rsidR="00635975" w:rsidRPr="00635975" w:rsidRDefault="00635975" w:rsidP="006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coordenadas de inicio y fin</w:t>
      </w:r>
    </w:p>
    <w:p w:rsidR="00635975" w:rsidRPr="00635975" w:rsidRDefault="00635975" w:rsidP="006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fecha y hora</w:t>
      </w:r>
    </w:p>
    <w:p w:rsidR="00635975" w:rsidRPr="00635975" w:rsidRDefault="00635975" w:rsidP="006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métricas asociadas (kilómetros, eventos)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Características clave:</w:t>
      </w:r>
    </w:p>
    <w:p w:rsidR="00635975" w:rsidRPr="00635975" w:rsidRDefault="00635975" w:rsidP="00635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volumen elevado (~500k registros/mes)</w:t>
      </w:r>
    </w:p>
    <w:p w:rsidR="00635975" w:rsidRPr="00635975" w:rsidRDefault="00635975" w:rsidP="00635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formato CSV</w:t>
      </w:r>
    </w:p>
    <w:p w:rsidR="00635975" w:rsidRPr="00635975" w:rsidRDefault="00635975" w:rsidP="00635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variaciones de columnas entre meses</w:t>
      </w:r>
    </w:p>
    <w:p w:rsidR="00635975" w:rsidRPr="00635975" w:rsidRDefault="00635975" w:rsidP="00635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lastRenderedPageBreak/>
        <w:t>decimales con coma (</w:t>
      </w:r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-32,037792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)</w:t>
      </w:r>
    </w:p>
    <w:p w:rsidR="00635975" w:rsidRPr="00635975" w:rsidRDefault="00635975" w:rsidP="00635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fechas no normalizadas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Esta fuente representa la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verdad operativa del movimiento real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 xml:space="preserve">2.2 VEC – Asignación móvil </w:t>
      </w:r>
      <w:r w:rsidRPr="00635975">
        <w:rPr>
          <w:rFonts w:ascii="Arial" w:eastAsia="Times New Roman" w:hAnsi="Arial" w:cs="Arial"/>
          <w:b/>
          <w:bCs/>
          <w:sz w:val="20"/>
          <w:szCs w:val="27"/>
          <w:lang w:eastAsia="es-AR"/>
        </w:rPr>
        <w:t>↔</w:t>
      </w: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 xml:space="preserve"> t</w:t>
      </w:r>
      <w:r w:rsidRPr="00635975">
        <w:rPr>
          <w:rFonts w:ascii="Lato" w:eastAsia="Times New Roman" w:hAnsi="Lato" w:cs="Lato"/>
          <w:b/>
          <w:bCs/>
          <w:sz w:val="20"/>
          <w:szCs w:val="27"/>
          <w:lang w:eastAsia="es-AR"/>
        </w:rPr>
        <w:t>é</w:t>
      </w: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cnico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Fuente que provee una foto del estado donde se observa:</w:t>
      </w:r>
    </w:p>
    <w:p w:rsidR="00635975" w:rsidRPr="00635975" w:rsidRDefault="00635975" w:rsidP="006359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qué móvil está asignado a qué técnico</w:t>
      </w:r>
    </w:p>
    <w:p w:rsidR="00635975" w:rsidRPr="00635975" w:rsidRDefault="00635975" w:rsidP="006359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información administrativa y de base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Características:</w:t>
      </w:r>
    </w:p>
    <w:p w:rsidR="00635975" w:rsidRPr="00635975" w:rsidRDefault="00635975" w:rsidP="00635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formato CSV / Excel</w:t>
      </w:r>
    </w:p>
    <w:p w:rsidR="00635975" w:rsidRPr="00635975" w:rsidRDefault="00635975" w:rsidP="00635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snapshots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mensuales</w:t>
      </w:r>
    </w:p>
    <w:p w:rsidR="00635975" w:rsidRPr="00635975" w:rsidRDefault="00635975" w:rsidP="00635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no es histórica por naturaleza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Por este motivo requiere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modelado adicional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para reconstruir historia.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2.3 Gestión operativa / Cumplimiento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Fuente con información de órdenes técnicas, incluyendo:</w:t>
      </w:r>
    </w:p>
    <w:p w:rsidR="00635975" w:rsidRPr="00635975" w:rsidRDefault="00635975" w:rsidP="006359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técnico asignado</w:t>
      </w:r>
    </w:p>
    <w:p w:rsidR="00635975" w:rsidRPr="00635975" w:rsidRDefault="00635975" w:rsidP="006359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ubicación geográfica de la orden (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lat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/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lon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)</w:t>
      </w:r>
    </w:p>
    <w:p w:rsidR="00635975" w:rsidRPr="00635975" w:rsidRDefault="00635975" w:rsidP="006359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fechas y estados de cumplimiento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Permite evaluar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qué trabajo se realizó y dónde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3. Principios de arquitectura adoptados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Desde el inicio se decidió no resolver el problema con una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query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monolítica, sino aplicar una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arquitectura por capas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Principios clave:</w:t>
      </w:r>
    </w:p>
    <w:p w:rsidR="00635975" w:rsidRPr="00635975" w:rsidRDefault="00635975" w:rsidP="00635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separación entre ingesta, limpieza y modelo histórico</w:t>
      </w:r>
    </w:p>
    <w:p w:rsidR="00635975" w:rsidRPr="00635975" w:rsidRDefault="00635975" w:rsidP="00635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evitar inferencias automáticas de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schema</w:t>
      </w:r>
      <w:proofErr w:type="spellEnd"/>
    </w:p>
    <w:p w:rsidR="00635975" w:rsidRPr="00635975" w:rsidRDefault="00635975" w:rsidP="00635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priorizar trazabilidad y reproducibilidad</w:t>
      </w:r>
    </w:p>
    <w:p w:rsidR="00635975" w:rsidRPr="00635975" w:rsidRDefault="00635975" w:rsidP="006359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permitir evolución futura sin romper lo existente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4. Arquitectura del modelo de datos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4.1 RAW – Datos crudos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lastRenderedPageBreak/>
        <w:t>Objetivo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br/>
        <w:t>Conservar los datos tal como llegan, sin transformaciones semánticas.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Decisiones clave</w:t>
      </w:r>
    </w:p>
    <w:p w:rsidR="00635975" w:rsidRPr="00635975" w:rsidRDefault="00635975" w:rsidP="00635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no usar AUTODETECT</w:t>
      </w:r>
    </w:p>
    <w:p w:rsidR="00635975" w:rsidRPr="00635975" w:rsidRDefault="00635975" w:rsidP="00635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no forzar tipos</w:t>
      </w:r>
    </w:p>
    <w:p w:rsidR="00635975" w:rsidRPr="00635975" w:rsidRDefault="00635975" w:rsidP="00635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no corregir formatos</w:t>
      </w:r>
    </w:p>
    <w:p w:rsidR="00635975" w:rsidRPr="00635975" w:rsidRDefault="00635975" w:rsidP="00635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conservar inconsistencias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Implementación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Se utilizan </w:t>
      </w:r>
      <w:proofErr w:type="spellStart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external</w:t>
      </w:r>
      <w:proofErr w:type="spellEnd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 </w:t>
      </w:r>
      <w:proofErr w:type="spellStart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tables</w:t>
      </w:r>
      <w:proofErr w:type="spellEnd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 sobre GCS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y luego se materializa RAW mediante CTAS.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Esto garantiza, por ejemplo:</w:t>
      </w:r>
    </w:p>
    <w:p w:rsidR="00635975" w:rsidRPr="00635975" w:rsidRDefault="00635975" w:rsidP="00635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-32,037792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permanece como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string</w:t>
      </w:r>
      <w:proofErr w:type="spellEnd"/>
    </w:p>
    <w:p w:rsidR="00635975" w:rsidRPr="00635975" w:rsidRDefault="00635975" w:rsidP="00635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01/08/2025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no es interpretado automáticamente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4.2 STG – Datos estandarizados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Objetivo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br/>
        <w:t>Transformar los datos RAW en una estructura usable, sin perder fidelidad.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Transformaciones realizadas</w:t>
      </w:r>
    </w:p>
    <w:p w:rsidR="00635975" w:rsidRPr="00635975" w:rsidRDefault="00635975" w:rsidP="00635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parseo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explícito de fechas y horas</w:t>
      </w:r>
    </w:p>
    <w:p w:rsidR="00635975" w:rsidRPr="00635975" w:rsidRDefault="00635975" w:rsidP="00635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construcción de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timestamps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reales</w:t>
      </w:r>
    </w:p>
    <w:p w:rsidR="00635975" w:rsidRPr="00635975" w:rsidRDefault="00635975" w:rsidP="00635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conversión de coordenadas a FLOAT</w:t>
      </w:r>
    </w:p>
    <w:p w:rsidR="00635975" w:rsidRPr="00635975" w:rsidRDefault="00635975" w:rsidP="00635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validaciones básicas de calidad</w:t>
      </w:r>
    </w:p>
    <w:p w:rsidR="00635975" w:rsidRPr="00635975" w:rsidRDefault="00635975" w:rsidP="006359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cálculo de métricas derivadas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Validaciones</w:t>
      </w:r>
    </w:p>
    <w:p w:rsidR="00635975" w:rsidRPr="00635975" w:rsidRDefault="00635975" w:rsidP="006359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coordenadas fuera de rango esperado</w:t>
      </w:r>
    </w:p>
    <w:p w:rsidR="00635975" w:rsidRPr="00635975" w:rsidRDefault="00635975" w:rsidP="006359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timestamps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nulos</w:t>
      </w:r>
    </w:p>
    <w:p w:rsidR="00635975" w:rsidRPr="00635975" w:rsidRDefault="00635975" w:rsidP="006359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duraciones negativas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Estas validaciones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no eliminan datos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, permiten cuantificar problemas.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4.3 CORE – Modelo histórico (en diseño)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Objetivo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br/>
        <w:t>Representar la verdad temporal del negocio.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Ejemplo conceptual:</w:t>
      </w:r>
    </w:p>
    <w:p w:rsidR="00635975" w:rsidRPr="00635975" w:rsidRDefault="00635975" w:rsidP="00635975">
      <w:pPr>
        <w:spacing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“La patente X estuvo asignada al técnico Y desde tal fecha hasta tal fecha”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Este modelo es imprescindible para:</w:t>
      </w:r>
    </w:p>
    <w:p w:rsidR="00635975" w:rsidRPr="00635975" w:rsidRDefault="00635975" w:rsidP="006359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cruces temporales con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Ituran</w:t>
      </w:r>
      <w:proofErr w:type="spellEnd"/>
    </w:p>
    <w:p w:rsidR="00635975" w:rsidRPr="00635975" w:rsidRDefault="00635975" w:rsidP="006359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lastRenderedPageBreak/>
        <w:t>análisis históricos</w:t>
      </w:r>
    </w:p>
    <w:p w:rsidR="00635975" w:rsidRPr="00635975" w:rsidRDefault="00635975" w:rsidP="006359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auditoría operativa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VEC alimentará este modelo mediante:</w:t>
      </w:r>
    </w:p>
    <w:p w:rsidR="00635975" w:rsidRPr="00635975" w:rsidRDefault="00635975" w:rsidP="006359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snapshots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sucesivos</w:t>
      </w:r>
    </w:p>
    <w:p w:rsidR="00635975" w:rsidRPr="00635975" w:rsidRDefault="00635975" w:rsidP="006359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detección de cambios</w:t>
      </w:r>
    </w:p>
    <w:p w:rsidR="00635975" w:rsidRPr="00635975" w:rsidRDefault="00635975" w:rsidP="006359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cierre e inserción de vigencias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5. Decisiones técnicas relevantes</w:t>
      </w:r>
    </w:p>
    <w:p w:rsidR="00635975" w:rsidRPr="00635975" w:rsidRDefault="00635975" w:rsidP="006359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Segoe UI Symbol" w:eastAsia="Times New Roman" w:hAnsi="Segoe UI Symbol" w:cs="Segoe UI Symbol"/>
          <w:sz w:val="18"/>
          <w:szCs w:val="24"/>
          <w:lang w:eastAsia="es-AR"/>
        </w:rPr>
        <w:t>❌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No usar </w:t>
      </w:r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LOAD DATA INTO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directamente</w:t>
      </w:r>
    </w:p>
    <w:p w:rsidR="00635975" w:rsidRPr="00635975" w:rsidRDefault="00635975" w:rsidP="006359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Segoe UI Symbol" w:eastAsia="Times New Roman" w:hAnsi="Segoe UI Symbol" w:cs="Segoe UI Symbol"/>
          <w:sz w:val="18"/>
          <w:szCs w:val="24"/>
          <w:lang w:eastAsia="es-AR"/>
        </w:rPr>
        <w:t>❌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No consolidar todo en una sola tabla</w:t>
      </w:r>
    </w:p>
    <w:p w:rsidR="00635975" w:rsidRPr="00635975" w:rsidRDefault="00635975" w:rsidP="006359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Segoe UI Symbol" w:eastAsia="Times New Roman" w:hAnsi="Segoe UI Symbol" w:cs="Segoe UI Symbol"/>
          <w:sz w:val="18"/>
          <w:szCs w:val="24"/>
          <w:lang w:eastAsia="es-AR"/>
        </w:rPr>
        <w:t>❌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No resolver historia en Python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Segoe UI Symbol" w:eastAsia="Times New Roman" w:hAnsi="Segoe UI Symbol" w:cs="Segoe UI Symbol"/>
          <w:sz w:val="18"/>
          <w:szCs w:val="24"/>
          <w:lang w:eastAsia="es-AR"/>
        </w:rPr>
        <w:t>✔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Se adopta un enfoque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RAW </w:t>
      </w:r>
      <w:r w:rsidRPr="00635975">
        <w:rPr>
          <w:rFonts w:ascii="Arial" w:eastAsia="Times New Roman" w:hAnsi="Arial" w:cs="Arial"/>
          <w:b/>
          <w:bCs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 STG </w:t>
      </w:r>
      <w:r w:rsidRPr="00635975">
        <w:rPr>
          <w:rFonts w:ascii="Arial" w:eastAsia="Times New Roman" w:hAnsi="Arial" w:cs="Arial"/>
          <w:b/>
          <w:bCs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 CORE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, con lógica de negocio centralizada en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BigQuery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 xml:space="preserve">6. Estado del proyecto (antes del </w:t>
      </w:r>
      <w:proofErr w:type="spellStart"/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discovery</w:t>
      </w:r>
      <w:proofErr w:type="spellEnd"/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)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Implementado:</w:t>
      </w:r>
    </w:p>
    <w:p w:rsidR="00635975" w:rsidRPr="00635975" w:rsidRDefault="00635975" w:rsidP="006359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Ingesta de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Ituran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a GCS</w:t>
      </w:r>
    </w:p>
    <w:p w:rsidR="00635975" w:rsidRPr="00635975" w:rsidRDefault="00635975" w:rsidP="006359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RAW y STG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Ituran</w:t>
      </w:r>
      <w:proofErr w:type="spellEnd"/>
    </w:p>
    <w:p w:rsidR="00635975" w:rsidRPr="00635975" w:rsidRDefault="00635975" w:rsidP="006359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Validaciones iniciales</w:t>
      </w:r>
    </w:p>
    <w:p w:rsidR="00635975" w:rsidRPr="00635975" w:rsidRDefault="00635975" w:rsidP="006359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Ingesta inicial de VEC (2025)</w:t>
      </w:r>
    </w:p>
    <w:p w:rsidR="00635975" w:rsidRPr="00635975" w:rsidRDefault="00635975" w:rsidP="006359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RAW y STG VEC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 xml:space="preserve">7. Primer </w:t>
      </w:r>
      <w:proofErr w:type="spellStart"/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discovery</w:t>
      </w:r>
      <w:proofErr w:type="spellEnd"/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 xml:space="preserve"> / laboratorio</w: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 xml:space="preserve">7.1 Objetivo del </w:t>
      </w:r>
      <w:proofErr w:type="spellStart"/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discovery</w:t>
      </w:r>
      <w:proofErr w:type="spellEnd"/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Valuar la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eficiencia y coherencia entre la asignación de </w:t>
      </w:r>
      <w:proofErr w:type="spellStart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OTs</w:t>
      </w:r>
      <w:proofErr w:type="spellEnd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 y la presencia real del técnico en territorio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, utilizando:</w:t>
      </w:r>
    </w:p>
    <w:p w:rsidR="00635975" w:rsidRPr="00635975" w:rsidRDefault="00635975" w:rsidP="006359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movimientos GPS de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Ituran</w:t>
      </w:r>
      <w:proofErr w:type="spellEnd"/>
    </w:p>
    <w:p w:rsidR="00635975" w:rsidRPr="00635975" w:rsidRDefault="00635975" w:rsidP="006359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relación técnico–patente desde VEC</w:t>
      </w:r>
    </w:p>
    <w:p w:rsidR="00635975" w:rsidRPr="00635975" w:rsidRDefault="00635975" w:rsidP="006359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cumplimiento de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OTs</w:t>
      </w:r>
      <w:proofErr w:type="spellEnd"/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Pregunta central: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¿El técnico estuvo razonablemente cerca del domicilio de la OT cuando fue marcada como cumplida?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Este análisis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no reemplaza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cumplimiento, agrega una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capa de control espacial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7.2 Resolución técnico–patente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Se construyó una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tabla puente </w:t>
      </w:r>
      <w:proofErr w:type="spellStart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Ituran</w:t>
      </w:r>
      <w:proofErr w:type="spellEnd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–VEC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: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Courier New"/>
          <w:sz w:val="14"/>
          <w:szCs w:val="20"/>
          <w:lang w:eastAsia="es-AR"/>
        </w:rPr>
        <w:lastRenderedPageBreak/>
        <w:t>ITURAN.bridge_tecnico_patente_movimiento</w:t>
      </w:r>
      <w:proofErr w:type="spellEnd"/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Permite resolver correctamente:</w:t>
      </w:r>
    </w:p>
    <w:p w:rsidR="00635975" w:rsidRPr="00635975" w:rsidRDefault="00635975" w:rsidP="006359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qué vehículo</w:t>
      </w:r>
    </w:p>
    <w:p w:rsidR="00635975" w:rsidRPr="00635975" w:rsidRDefault="00635975" w:rsidP="006359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estuvo asignado a qué técnico</w:t>
      </w:r>
    </w:p>
    <w:p w:rsidR="00635975" w:rsidRPr="00635975" w:rsidRDefault="00635975" w:rsidP="006359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en cada fecha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Es clave para evitar errores cuando una patente cambia de técnico.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7.3 Cruce con Cumplimiento y cálculo de distancia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Se cruza:</w:t>
      </w:r>
    </w:p>
    <w:p w:rsidR="00635975" w:rsidRPr="00635975" w:rsidRDefault="00635975" w:rsidP="006359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ubicación de la OT (Cumplimiento)</w:t>
      </w:r>
    </w:p>
    <w:p w:rsidR="00635975" w:rsidRPr="00635975" w:rsidRDefault="00635975" w:rsidP="006359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ubicación real del técnico (primer movimiento del día –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Ituran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)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La distancia se calcula con: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ST_DISTANCE(ST_GEOGPOINT(...))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Resultado expresado en kilómetros.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8. Construcción de tablas analíticas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8.1 Tabla por OT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Tabla creada: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ITURAN.analisis_cumplimiento_ot</w:t>
      </w:r>
      <w:proofErr w:type="spellEnd"/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Unidad de análisis: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1 fila = 1 OT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Se filtran registros con:</w:t>
      </w:r>
    </w:p>
    <w:p w:rsidR="00635975" w:rsidRPr="00635975" w:rsidRDefault="00635975" w:rsidP="00635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coordenadas nulas</w:t>
      </w:r>
    </w:p>
    <w:p w:rsidR="00635975" w:rsidRPr="00635975" w:rsidRDefault="00635975" w:rsidP="006359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valores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dummy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(0.0 / 1.0)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8.2 Clasificación de distancia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Cada OT se clasifica en:</w:t>
      </w:r>
    </w:p>
    <w:p w:rsidR="00635975" w:rsidRPr="00635975" w:rsidRDefault="00635975" w:rsidP="00635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EN_ZONA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</w:t>
      </w:r>
      <w:r w:rsidRPr="00635975">
        <w:rPr>
          <w:rFonts w:ascii="Lato" w:eastAsia="Times New Roman" w:hAnsi="Lato" w:cs="Lato"/>
          <w:sz w:val="18"/>
          <w:szCs w:val="24"/>
          <w:lang w:eastAsia="es-AR"/>
        </w:rPr>
        <w:t>≤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1 km</w:t>
      </w:r>
    </w:p>
    <w:p w:rsidR="00635975" w:rsidRPr="00635975" w:rsidRDefault="00635975" w:rsidP="00635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CERCA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&gt; 1 km y </w:t>
      </w:r>
      <w:r w:rsidRPr="00635975">
        <w:rPr>
          <w:rFonts w:ascii="Lato" w:eastAsia="Times New Roman" w:hAnsi="Lato" w:cs="Lato"/>
          <w:sz w:val="18"/>
          <w:szCs w:val="24"/>
          <w:lang w:eastAsia="es-AR"/>
        </w:rPr>
        <w:t>≤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5 km</w:t>
      </w:r>
    </w:p>
    <w:p w:rsidR="00635975" w:rsidRPr="00635975" w:rsidRDefault="00635975" w:rsidP="00635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LEJOS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&gt; 5 km y </w:t>
      </w:r>
      <w:r w:rsidRPr="00635975">
        <w:rPr>
          <w:rFonts w:ascii="Lato" w:eastAsia="Times New Roman" w:hAnsi="Lato" w:cs="Lato"/>
          <w:sz w:val="18"/>
          <w:szCs w:val="24"/>
          <w:lang w:eastAsia="es-AR"/>
        </w:rPr>
        <w:t>≤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20 km</w:t>
      </w:r>
    </w:p>
    <w:p w:rsidR="00635975" w:rsidRPr="00635975" w:rsidRDefault="00635975" w:rsidP="006359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MUY_LEJOS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&gt; 20 km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Flags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adicionales:</w:t>
      </w:r>
    </w:p>
    <w:p w:rsidR="00635975" w:rsidRPr="00635975" w:rsidRDefault="00635975" w:rsidP="006359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flag_fuera_zona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&gt; 20 km</w:t>
      </w:r>
    </w:p>
    <w:p w:rsidR="00635975" w:rsidRPr="00635975" w:rsidRDefault="00635975" w:rsidP="006359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Courier New"/>
          <w:sz w:val="14"/>
          <w:szCs w:val="20"/>
          <w:lang w:eastAsia="es-AR"/>
        </w:rPr>
        <w:lastRenderedPageBreak/>
        <w:t>flag_outlier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&gt; 100 km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9. Hallazgos iniciales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Sobre ~270.000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OTs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:</w:t>
      </w:r>
    </w:p>
    <w:p w:rsidR="00635975" w:rsidRPr="00635975" w:rsidRDefault="00635975" w:rsidP="00635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~600 presentan distancias &gt; 100 km</w:t>
      </w:r>
    </w:p>
    <w:p w:rsidR="00635975" w:rsidRPr="00635975" w:rsidRDefault="00635975" w:rsidP="00635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los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outliers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existen, pero no dominan</w:t>
      </w:r>
    </w:p>
    <w:p w:rsidR="00635975" w:rsidRPr="00635975" w:rsidRDefault="00635975" w:rsidP="006359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la mayoría de los técnicos muestra patrones consistentes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Conclusión: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br/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el modelo es viable y los datos son utilizables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10. Score de cumplimiento por técnico</w: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10.1 Clasificaciones explícitas (incluyendo faltantes)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Se incorporan categorías explícitas para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OTs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sin datos:</w:t>
      </w:r>
    </w:p>
    <w:p w:rsidR="00635975" w:rsidRPr="00635975" w:rsidRDefault="00635975" w:rsidP="006359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SIN_GEO_OT</w:t>
      </w:r>
    </w:p>
    <w:p w:rsidR="00635975" w:rsidRPr="00635975" w:rsidRDefault="00635975" w:rsidP="006359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SIN_MOV_ITURAN</w:t>
      </w:r>
    </w:p>
    <w:p w:rsidR="00635975" w:rsidRPr="00635975" w:rsidRDefault="00635975" w:rsidP="006359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SIN_RELACION_TEC_PAT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Estas </w:t>
      </w: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OTs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cuentan para volumen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, pero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no ponderan positivamente el score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10.2 Score sintético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Tabla creada: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Courier New"/>
          <w:sz w:val="14"/>
          <w:szCs w:val="20"/>
          <w:lang w:eastAsia="es-AR"/>
        </w:rPr>
        <w:t>ITURAN.score_tecnico_cumplimiento</w:t>
      </w:r>
      <w:proofErr w:type="spellEnd"/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Pesos:</w:t>
      </w:r>
    </w:p>
    <w:p w:rsidR="00635975" w:rsidRPr="00635975" w:rsidRDefault="00635975" w:rsidP="00635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EN_ZONA = 1.0</w:t>
      </w:r>
    </w:p>
    <w:p w:rsidR="00635975" w:rsidRPr="00635975" w:rsidRDefault="00635975" w:rsidP="00635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CERCA = 0.7</w:t>
      </w:r>
    </w:p>
    <w:p w:rsidR="00635975" w:rsidRPr="00635975" w:rsidRDefault="00635975" w:rsidP="00635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LEJOS = 0.3</w:t>
      </w:r>
    </w:p>
    <w:p w:rsidR="00635975" w:rsidRPr="00635975" w:rsidRDefault="00635975" w:rsidP="006359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MUY_LEJOS = 0.0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Score final: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0 a 1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11. Interpretación del score</w:t>
      </w:r>
    </w:p>
    <w:p w:rsidR="00635975" w:rsidRPr="00635975" w:rsidRDefault="00635975" w:rsidP="006359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≥ 0.8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t</w:t>
      </w:r>
      <w:r w:rsidRPr="00635975">
        <w:rPr>
          <w:rFonts w:ascii="Lato" w:eastAsia="Times New Roman" w:hAnsi="Lato" w:cs="Lato"/>
          <w:sz w:val="18"/>
          <w:szCs w:val="24"/>
          <w:lang w:eastAsia="es-AR"/>
        </w:rPr>
        <w:t>é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cnico consistente</w:t>
      </w:r>
    </w:p>
    <w:p w:rsidR="00635975" w:rsidRPr="00635975" w:rsidRDefault="00635975" w:rsidP="006359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0.6 – 0.8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comportamiento normal</w:t>
      </w:r>
    </w:p>
    <w:p w:rsidR="00635975" w:rsidRPr="00635975" w:rsidRDefault="00635975" w:rsidP="006359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&lt; 0.5 </w:t>
      </w:r>
      <w:r w:rsidRPr="00635975">
        <w:rPr>
          <w:rFonts w:ascii="Arial" w:eastAsia="Times New Roman" w:hAnsi="Arial" w:cs="Arial"/>
          <w:sz w:val="18"/>
          <w:szCs w:val="24"/>
          <w:lang w:eastAsia="es-AR"/>
        </w:rPr>
        <w:t>→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posibles problemas de asignaci</w:t>
      </w:r>
      <w:r w:rsidRPr="00635975">
        <w:rPr>
          <w:rFonts w:ascii="Lato" w:eastAsia="Times New Roman" w:hAnsi="Lato" w:cs="Lato"/>
          <w:sz w:val="18"/>
          <w:szCs w:val="24"/>
          <w:lang w:eastAsia="es-AR"/>
        </w:rPr>
        <w:t>ó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n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proofErr w:type="spellStart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Outliers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 persistentes son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banderas rojas operativas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lastRenderedPageBreak/>
        <w:pict>
          <v:rect id="_x0000_i1044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4"/>
          <w:szCs w:val="36"/>
          <w:lang w:eastAsia="es-AR"/>
        </w:rPr>
        <w:t>12. Alcance y próximos pasos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Este trabajo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no determina fraude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, pero:</w:t>
      </w:r>
    </w:p>
    <w:p w:rsidR="00635975" w:rsidRPr="00635975" w:rsidRDefault="00635975" w:rsidP="006359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detecta inconsistencias espaciales</w:t>
      </w:r>
    </w:p>
    <w:p w:rsidR="00635975" w:rsidRPr="00635975" w:rsidRDefault="00635975" w:rsidP="006359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expone problemas de asignación</w:t>
      </w:r>
    </w:p>
    <w:p w:rsidR="00635975" w:rsidRPr="00635975" w:rsidRDefault="00635975" w:rsidP="006359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permite priorizar revisiones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Próximo foco:</w:t>
      </w:r>
    </w:p>
    <w:p w:rsidR="00635975" w:rsidRPr="00635975" w:rsidRDefault="00635975" w:rsidP="006359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incorporar información de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gestión operativa (no cumplimiento)</w:t>
      </w:r>
    </w:p>
    <w:p w:rsidR="00635975" w:rsidRPr="00635975" w:rsidRDefault="00635975" w:rsidP="006359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evaluar eficiencia temporal y secuencial</w:t>
      </w:r>
    </w:p>
    <w:p w:rsidR="00635975" w:rsidRPr="00635975" w:rsidRDefault="00635975" w:rsidP="006359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refinar reglas de negocio</w:t>
      </w:r>
    </w:p>
    <w:p w:rsidR="00635975" w:rsidRPr="00635975" w:rsidRDefault="00635975" w:rsidP="00635975">
      <w:pPr>
        <w:spacing w:after="0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pict>
          <v:rect id="_x0000_i1045" style="width:0;height:1.5pt" o:hralign="center" o:hrstd="t" o:hr="t" fillcolor="#a0a0a0" stroked="f"/>
        </w:pict>
      </w:r>
    </w:p>
    <w:p w:rsidR="00635975" w:rsidRPr="00635975" w:rsidRDefault="00635975" w:rsidP="00635975">
      <w:pPr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</w:pPr>
      <w:r w:rsidRPr="00635975">
        <w:rPr>
          <w:rFonts w:ascii="Lato" w:eastAsia="Times New Roman" w:hAnsi="Lato" w:cs="Times New Roman"/>
          <w:b/>
          <w:bCs/>
          <w:sz w:val="20"/>
          <w:szCs w:val="27"/>
          <w:lang w:eastAsia="es-AR"/>
        </w:rPr>
        <w:t>Nota final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Este trabajo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no es un producto final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.</w:t>
      </w: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br/>
        <w:t>Es evidencia clara de:</w:t>
      </w:r>
    </w:p>
    <w:p w:rsidR="00635975" w:rsidRPr="00635975" w:rsidRDefault="00635975" w:rsidP="006359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viabilidad del enfoque</w:t>
      </w:r>
    </w:p>
    <w:p w:rsidR="00635975" w:rsidRPr="00635975" w:rsidRDefault="00635975" w:rsidP="006359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potencial analítico</w:t>
      </w:r>
    </w:p>
    <w:p w:rsidR="00635975" w:rsidRPr="00635975" w:rsidRDefault="00635975" w:rsidP="006359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capacidad de detectar ineficiencias reales</w:t>
      </w:r>
    </w:p>
    <w:p w:rsidR="00635975" w:rsidRPr="00635975" w:rsidRDefault="00635975" w:rsidP="00635975">
      <w:pPr>
        <w:spacing w:before="100" w:beforeAutospacing="1" w:after="100" w:afterAutospacing="1" w:line="240" w:lineRule="auto"/>
        <w:rPr>
          <w:rFonts w:ascii="Lato" w:eastAsia="Times New Roman" w:hAnsi="Lato" w:cs="Times New Roman"/>
          <w:sz w:val="18"/>
          <w:szCs w:val="24"/>
          <w:lang w:eastAsia="es-AR"/>
        </w:rPr>
      </w:pPr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 xml:space="preserve">Debe preservarse como </w:t>
      </w:r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 xml:space="preserve">registro del </w:t>
      </w:r>
      <w:proofErr w:type="spellStart"/>
      <w:r w:rsidRPr="00635975">
        <w:rPr>
          <w:rFonts w:ascii="Lato" w:eastAsia="Times New Roman" w:hAnsi="Lato" w:cs="Times New Roman"/>
          <w:b/>
          <w:bCs/>
          <w:sz w:val="18"/>
          <w:szCs w:val="24"/>
          <w:lang w:eastAsia="es-AR"/>
        </w:rPr>
        <w:t>discovery</w:t>
      </w:r>
      <w:proofErr w:type="spellEnd"/>
      <w:r w:rsidRPr="00635975">
        <w:rPr>
          <w:rFonts w:ascii="Lato" w:eastAsia="Times New Roman" w:hAnsi="Lato" w:cs="Times New Roman"/>
          <w:sz w:val="18"/>
          <w:szCs w:val="24"/>
          <w:lang w:eastAsia="es-AR"/>
        </w:rPr>
        <w:t>, incluso si el modelo evoluciona.</w:t>
      </w:r>
    </w:p>
    <w:p w:rsidR="00355C5D" w:rsidRDefault="00635975"/>
    <w:sectPr w:rsidR="00355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60DF"/>
    <w:multiLevelType w:val="multilevel"/>
    <w:tmpl w:val="334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4650"/>
    <w:multiLevelType w:val="multilevel"/>
    <w:tmpl w:val="667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5270B"/>
    <w:multiLevelType w:val="multilevel"/>
    <w:tmpl w:val="F8C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59FF"/>
    <w:multiLevelType w:val="multilevel"/>
    <w:tmpl w:val="8F8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376EE"/>
    <w:multiLevelType w:val="multilevel"/>
    <w:tmpl w:val="A26E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320E8"/>
    <w:multiLevelType w:val="multilevel"/>
    <w:tmpl w:val="416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91B0B"/>
    <w:multiLevelType w:val="multilevel"/>
    <w:tmpl w:val="565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12F0C"/>
    <w:multiLevelType w:val="multilevel"/>
    <w:tmpl w:val="56B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96766"/>
    <w:multiLevelType w:val="multilevel"/>
    <w:tmpl w:val="1080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56FEA"/>
    <w:multiLevelType w:val="multilevel"/>
    <w:tmpl w:val="8C6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13411"/>
    <w:multiLevelType w:val="multilevel"/>
    <w:tmpl w:val="778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F5FF4"/>
    <w:multiLevelType w:val="multilevel"/>
    <w:tmpl w:val="9BE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01672"/>
    <w:multiLevelType w:val="multilevel"/>
    <w:tmpl w:val="8F7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4D5"/>
    <w:multiLevelType w:val="multilevel"/>
    <w:tmpl w:val="C31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B0E9D"/>
    <w:multiLevelType w:val="multilevel"/>
    <w:tmpl w:val="AB9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1038E"/>
    <w:multiLevelType w:val="multilevel"/>
    <w:tmpl w:val="362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C467B"/>
    <w:multiLevelType w:val="multilevel"/>
    <w:tmpl w:val="5D2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873B2"/>
    <w:multiLevelType w:val="multilevel"/>
    <w:tmpl w:val="799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521ED"/>
    <w:multiLevelType w:val="multilevel"/>
    <w:tmpl w:val="528A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77D39"/>
    <w:multiLevelType w:val="multilevel"/>
    <w:tmpl w:val="8FD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35EF6"/>
    <w:multiLevelType w:val="multilevel"/>
    <w:tmpl w:val="820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B1B74"/>
    <w:multiLevelType w:val="multilevel"/>
    <w:tmpl w:val="DD2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47B28"/>
    <w:multiLevelType w:val="multilevel"/>
    <w:tmpl w:val="0AD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04890"/>
    <w:multiLevelType w:val="multilevel"/>
    <w:tmpl w:val="DE8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60EFE"/>
    <w:multiLevelType w:val="multilevel"/>
    <w:tmpl w:val="CD1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032D7"/>
    <w:multiLevelType w:val="multilevel"/>
    <w:tmpl w:val="2D4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105FF"/>
    <w:multiLevelType w:val="multilevel"/>
    <w:tmpl w:val="81A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05A0A"/>
    <w:multiLevelType w:val="multilevel"/>
    <w:tmpl w:val="0A7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029E0"/>
    <w:multiLevelType w:val="multilevel"/>
    <w:tmpl w:val="689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3666E"/>
    <w:multiLevelType w:val="multilevel"/>
    <w:tmpl w:val="D06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8"/>
  </w:num>
  <w:num w:numId="3">
    <w:abstractNumId w:val="12"/>
  </w:num>
  <w:num w:numId="4">
    <w:abstractNumId w:val="16"/>
  </w:num>
  <w:num w:numId="5">
    <w:abstractNumId w:val="6"/>
  </w:num>
  <w:num w:numId="6">
    <w:abstractNumId w:val="4"/>
  </w:num>
  <w:num w:numId="7">
    <w:abstractNumId w:val="22"/>
  </w:num>
  <w:num w:numId="8">
    <w:abstractNumId w:val="21"/>
  </w:num>
  <w:num w:numId="9">
    <w:abstractNumId w:val="24"/>
  </w:num>
  <w:num w:numId="10">
    <w:abstractNumId w:val="2"/>
  </w:num>
  <w:num w:numId="11">
    <w:abstractNumId w:val="9"/>
  </w:num>
  <w:num w:numId="12">
    <w:abstractNumId w:val="23"/>
  </w:num>
  <w:num w:numId="13">
    <w:abstractNumId w:val="1"/>
  </w:num>
  <w:num w:numId="14">
    <w:abstractNumId w:val="13"/>
  </w:num>
  <w:num w:numId="15">
    <w:abstractNumId w:val="14"/>
  </w:num>
  <w:num w:numId="16">
    <w:abstractNumId w:val="26"/>
  </w:num>
  <w:num w:numId="17">
    <w:abstractNumId w:val="29"/>
  </w:num>
  <w:num w:numId="18">
    <w:abstractNumId w:val="17"/>
  </w:num>
  <w:num w:numId="19">
    <w:abstractNumId w:val="11"/>
  </w:num>
  <w:num w:numId="20">
    <w:abstractNumId w:val="15"/>
  </w:num>
  <w:num w:numId="21">
    <w:abstractNumId w:val="3"/>
  </w:num>
  <w:num w:numId="22">
    <w:abstractNumId w:val="19"/>
  </w:num>
  <w:num w:numId="23">
    <w:abstractNumId w:val="7"/>
  </w:num>
  <w:num w:numId="24">
    <w:abstractNumId w:val="0"/>
  </w:num>
  <w:num w:numId="25">
    <w:abstractNumId w:val="18"/>
  </w:num>
  <w:num w:numId="26">
    <w:abstractNumId w:val="27"/>
  </w:num>
  <w:num w:numId="27">
    <w:abstractNumId w:val="25"/>
  </w:num>
  <w:num w:numId="28">
    <w:abstractNumId w:val="8"/>
  </w:num>
  <w:num w:numId="29">
    <w:abstractNumId w:val="10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CF2"/>
    <w:rsid w:val="00635975"/>
    <w:rsid w:val="00677CF2"/>
    <w:rsid w:val="00B22138"/>
    <w:rsid w:val="00C72C57"/>
    <w:rsid w:val="00E4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6C804-07EC-44C5-A8F4-D730DCC9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35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359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635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597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3597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3597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35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3597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35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6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1085</Words>
  <Characters>5972</Characters>
  <Application>Microsoft Office Word</Application>
  <DocSecurity>0</DocSecurity>
  <Lines>49</Lines>
  <Paragraphs>14</Paragraphs>
  <ScaleCrop>false</ScaleCrop>
  <Company>Grupo TELECOM S.A</Company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Florentin</dc:creator>
  <cp:keywords/>
  <dc:description/>
  <cp:lastModifiedBy>Federico Florentin</cp:lastModifiedBy>
  <cp:revision>3</cp:revision>
  <dcterms:created xsi:type="dcterms:W3CDTF">2026-01-13T14:46:00Z</dcterms:created>
  <dcterms:modified xsi:type="dcterms:W3CDTF">2026-01-13T14:46:00Z</dcterms:modified>
</cp:coreProperties>
</file>