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Client State and Networking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Android client uses Retrofit for HTTP, Socket.IO for realtime events, `EncryptedSharedPreferences` for sensitive local state, and WorkManager for selected background refresh tasks. This gives the app strong offline and reconnect behavior, but also centralizes a large amount of mutable state into singleton helpers.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`ApiClient`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owns the shared Retrofit instance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injects bearer tokens into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refreshes tokens on `401`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registers custom Gson adapters such as `UserBasicJsonAdapter`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`SocketManager`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owns the singleton Socket.IO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reconnects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exposes lightweight `on`, `off`, `emit`, and presence helpers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`TokenManager`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stores auth tokens, refresh token, user profile fragments, roles, OneSignal player id, community selection, and feed 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falls back safely if encrypted preferences become corrupted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`FeedSyncWorker`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refreshes cached feed payloads in the background using selected community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UI[Activities / Fragments / Views] --&gt; API[ApiClient]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 --&gt; Socket[SocketManager]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 --&gt; Token[TokenManager]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Worker[FeedSyncWorker] --&gt;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Worker --&gt;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 --&gt;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Socket --&gt; Realtime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`network/ApiClient.kt`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`network/SocketManager.kt`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`util/TokenManager.kt`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`work/FeedSyncWorker.kt`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`ApiClient` currently uses BODY-level HTTP logging, which is too broad for production risk and payload 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`SocketManager` is easy to use but makes listener ownership implicit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`TokenManager` has grown into a catch-all persistence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singleton state makes feature boundaries less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cache format changes require careful invalidation across app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cross-feature reliance on a shared socket increases blast radius when realtime behavior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reduce production logging verbosity in the API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split token/auth storage from feature cache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introduce typed socket subscription helpers per domain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version feed and notification caches more explicitly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