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Community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Communities are Yenkasa’s primary geographic and interest-based segmentation layer. They influence registration, feed scope, messaging relevance, and notification targeting.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 creation and membership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users select up to two communities at registration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communities are country-scoped and must be approved before 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 creation is gated by role and verification rules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 and leave behavior updates both the user and the community record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 visibility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public route: `GET /api/communities/public`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authenticated route: `GET /api/communities`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pending review route: `GET /api/communities/pending`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Community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approved community posts trigger batched notifications to eligible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rules can exclude blocked or muted recipients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Important modules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`routes/community.routes.js`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`models/community.model.js`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`services/communityPostNotification.service.js`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`helpers/community.helper`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Known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`memberCount` can drift and is recomputed in some read 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membership state exists both as community-owned `members` and user-owned `joinedCommunities`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some per-user fields in the community model (`isJoined`, `canPost`, `canModerate`) are view concerns stored at schema 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Scaling concerns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notification fan-out for community posts is membership-size dependent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joins and leaves can require follow-up count repairs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Recommended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treat membership as one canonical relation and derive counters from 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move view-only user-specific flags out of the persisted community schema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shift large community notification fan-out to a queue-backed worker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