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Yenkasa Engineering Knowledge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folder contains internal backend architecture notes prepared for two audiences: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engineers onboarding into the codebase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YenkasaAI ingestion and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Suggested ingestion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[SYSTEM_OVERVIEW.md](/Users/kofibright/yenkasaChat/yenkasa_knowledge/SYSTEM_OVERVIEW.md)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[CURRENT_ARCHITECTURE.md](/Users/kofibright/yenkasaChat/yenkasa_knowledge/CURRENT_ARCHITECTURE.md)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[BACKEND_ARCHITECTURE.md](/Users/kofibright/yenkasaChat/yenkasa_knowledge/BACKEND_ARCHITECTURE.md)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[API_STRUCTURE.md](/Users/kofibright/yenkasaChat/yenkasa_knowledge/API_STRUCTURE.md)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[DATABASE_STRUCTURE.md](/Users/kofibright/yenkasaChat/yenkasa_knowledge/DATABASE_STRUCTURE.md)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domain-specific docs such as livestream, feed, moderation, rewards, and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Source of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pages were derived from the current Node/Express backend under: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`yenkasaChatBackend/RegLoginBackend`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summarize actual route mounts, services, models, and socket events rather than idealized target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Export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Markdown: 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DOCX: not generated automatically in this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PDF: not generated automatically in this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Reason: local Markdown-to-DOCX/PDF tooling is not set up in a way that preserves the wiki structure cleanly enough for internal docs. The Markdown files are the authoritative source for ingestion.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