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Store Frontend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Yenkasa Store is not a React SPA. It is a multipage storefront composed of static HTML, CSS, and browser JavaScript, served by the main backend under `/store`. The store includes buyer flows, seller dashboards, admin dashboards, checkout, notifications, and account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assets live under `public/triciabales_frontend`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landing pages live under `public/triciabales_frontend/landingFile`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logic lives under `public/triciabales_frontend/jsFiles`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CSS lives under `public/triciabales_frontend/cssFile`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backend maps clean `/store/...` URLs onto these static HTML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Browser --&gt; StorePages[Static HTML pages]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StorePages --&gt; StoreScripts[jsFiles/*.js]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StoreScripts --&gt; StoreProxy[/triciabales-api proxy routes]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StoreProxy --&gt; CoreBackend[Main Yenkasa API]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Main storefront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`index.html`: public store homepage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buyer flows: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register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buyer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thank-you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my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seller flows: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seller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seller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flows: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Browser-side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heavy use of `localStorage` for current user, auth token, cart, checkout state, and seller session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script handles: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category browsing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seller/product showcase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cart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support modal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navigation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seller dashboard script handles: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seller role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upload/edit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order and payout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admin redirection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store uses many page-specific scripts rather than a shared application shell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and role checks are repeated in browser 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persistence relies heavily on local storage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multipage vanilla JS becomes harder to evolve consistently as feature count 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behavior across buyer, seller, and admin pages is easy to duplicate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browser-side token handling and page-level scripts increase maintenance overhead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extract shared store utilities into a clearer client module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reduce duplicated auth/session checks across page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evaluate whether the store should remain multipage or move toward a more unified frontend architecture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