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Web Localization and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web client has its own localization and permission layer. It does not reuse Android string resources or backend permission middleware; it mirrors those concerns in browser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Localization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`LocaleContext.jsx` 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supported languages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translation dictionary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selected language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languages currently represented: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French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Twi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language selection is exposed in `Settings.jsx`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updates attempt to sync `preferredLanguage`, but the language setting is intentionally resilient to backend sync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`utils/permissions.js`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normalizes ranks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computes lightweight capability flags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currently focuses on analytics, moderation, economy, and fraud-monitor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 logic is notably narrower than the Android `UserPermissions` helper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Notification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notification sound is managed in browser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notification preferences are fetched and updated through notification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notification permission is requested directly through the Web Notification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localization coverage is explicit but dictionary-based, which becomes harder to scale as the UI grows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normalization differs from Android and backend terminology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notifications, in-app notifications, and backend preferences are separate control planes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translation dictionaries will become harder to maintain without feature-based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permissions drift is likely if browser rank logic is not aligned with backend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browser-specific behavior creates more edge cases than the Android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split web translations by feature domain instead of one expanding dictionary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align web role capabilities with a backend-owned permission manifest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define a shared notification-preferences contract across web and mobile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