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Web and Store Scaling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browser surfaces are functional, but they are implemented using two very different architectures: a React SPA for `/web` and a multipage static storefront for `/store`. This split is workable, but it introduces duplication and operational drag.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Main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split frontend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`/web` uses React, hooks, and route-based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`/store` uses static HTML and page-specific browser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behavior such as auth, notifications, and role gating is duplicated in different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proxy-heavy store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store layer proxies many endpoints to another API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increases request latency, observability complexity, and failure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platform drift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Android, web SPA, and store all implement overlapping product concepts differently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routing, role checks, feed behavior, and localization can diverge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browser-local state concentration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web app and the store both lean heavily on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auth/session assumptions are spread across utilities and page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mixed deployment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`/web` is built output served from backend public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`/store` is static multipage content plus a route/proxy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`/blog` is another separate static content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define shared frontend contracts for auth, notifications, roles, and preferred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reduce store proxy breadth or isolate it into a clearer commerce service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keep documentation and RAG ingestion segmented by client surface so retrieval stays precise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