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 las gráficas – Proyecto Swaps Hipotecarios</w:t>
      </w:r>
    </w:p>
    <w:p>
      <w:pPr>
        <w:pStyle w:val="Heading2"/>
      </w:pPr>
      <w:r>
        <w:t>Figura 1 – Trayectorias simuladas de la tasa hipotecaria variable</w:t>
      </w:r>
    </w:p>
    <w:p>
      <w:r>
        <w:t>Muestra las trayectorias mensuales de la tasa hipotecaria variable simulada bajo los tres escenarios. La curva permite visualizar la volatilidad y tendencia esperada de la tasa. Sirve de insumo para justificar los valores de entrada en los cálculos posteriores.</w:t>
      </w:r>
    </w:p>
    <w:p>
      <w:pPr>
        <w:pStyle w:val="Heading2"/>
      </w:pPr>
      <w:r>
        <w:t>Figura 2 – Valor presente del ahorro con swap (180 meses)</w:t>
      </w:r>
    </w:p>
    <w:p>
      <w:r>
        <w:t>Compara el valor presente del ahorro (COP millones) al convertir deuda variable a fija con swap durante todo el plazo de 180 meses. Útil para destacar el impacto financiero total por escenario.</w:t>
      </w:r>
    </w:p>
    <w:p>
      <w:pPr>
        <w:pStyle w:val="Heading2"/>
      </w:pPr>
      <w:r>
        <w:t>Figura 3 – Tornado: sensibilidad del ahorro al spread del swap</w:t>
      </w:r>
    </w:p>
    <w:p>
      <w:r>
        <w:t>Gráfico tornado que presenta la sensibilidad del ahorro acumulado a diferentes spreads de swap (150–350 pb). Permite identificar rápidamente qué rango de spread genera el mayor beneficio o riesgo.</w:t>
      </w:r>
    </w:p>
    <w:p>
      <w:pPr>
        <w:pStyle w:val="Heading2"/>
      </w:pPr>
      <w:r>
        <w:t>Figura 4 – Ahorro total y porcentaje cubriéndose con swap</w:t>
      </w:r>
    </w:p>
    <w:p>
      <w:r>
        <w:t>Combina barras (ahorro absoluto) y línea (ahorro %) al final del plazo. Muestra que, aunque el escenario Pesimista genera mayor ahorro absoluto por swap, el porcentaje de beneficio sobre la deuda es más alto en el escenario Optimista.</w:t>
      </w:r>
    </w:p>
    <w:p>
      <w:pPr>
        <w:pStyle w:val="Heading2"/>
      </w:pPr>
      <w:r>
        <w:t>Figura 5 – Distribución del ahorro (12 m) – Escenario Optimista</w:t>
      </w:r>
    </w:p>
    <w:p>
      <w:r>
        <w:t>Histograma Monte Carlo del ahorro anual en el escenario Optimista y su VaR 95 %. Sirve para ilustrar la distribución de resultados posibles y el nivel de riesgo (pérdida potencial) a un año.</w:t>
      </w:r>
    </w:p>
    <w:p>
      <w:pPr>
        <w:pStyle w:val="Heading2"/>
      </w:pPr>
      <w:r>
        <w:t>Figura 6 – Distribución del ahorro (12 m) – Escenario Base</w:t>
      </w:r>
    </w:p>
    <w:p>
      <w:r>
        <w:t>Histograma equivalente para el escenario Base: aquí el VaR 95 % es intermedio y ayuda a contextualizar la exposición al riesgo en condiciones más probables.</w:t>
      </w:r>
    </w:p>
    <w:p>
      <w:pPr>
        <w:pStyle w:val="Heading2"/>
      </w:pPr>
      <w:r>
        <w:t>Figura 7 – Distribución del ahorro (12 m) – Escenario Pesimista</w:t>
      </w:r>
    </w:p>
    <w:p>
      <w:r>
        <w:t>Histograma para el escenario Pesimista: presenta la mayor dispersión y por tanto el VaR más alto. Esto evidencia la importancia de monitorear el spread y la volatilidad de tasas.</w:t>
      </w:r>
    </w:p>
    <w:p>
      <w:pPr>
        <w:pStyle w:val="Heading2"/>
      </w:pPr>
      <w:r>
        <w:t>Figura 8 – VaR 95 % del ahorro anual por escenario</w:t>
      </w:r>
    </w:p>
    <w:p>
      <w:r>
        <w:t>Barras comparativas del VaR 95 % anual en cada escenario. Facilita explicar en el reporte cuál es el riesgo máximo esperado (con 95 % de confianza) de no conseguir el ahorro proyectado.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