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13/10/2023</w:t>
      </w:r>
      <w:r>
        <w:t xml:space="preserve"> </w:t>
      </w:r>
      <w:r>
        <w:t xml:space="preserve"> </w:t>
      </w:r>
    </w:p>
    <w:p>
      <w:pPr>
        <w:pStyle w:val="FirstParagraph"/>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0">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1">
        <w:r>
          <w:rPr>
            <w:rStyle w:val="Lienhypertexte"/>
          </w:rPr>
          <w:t xml:space="preserve">doi: 10.5281/zenodo.8320233</w:t>
        </w:r>
      </w:hyperlink>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numPr>
          <w:ilvl w:val="0"/>
          <w:numId w:val="1156"/>
        </w:numPr>
        <w:pStyle w:val="Compact"/>
      </w:pPr>
      <w:r>
        <w:t xml:space="preserve">.</w:t>
      </w:r>
      <w:hyperlink w:anchor="ref-munafò2017">
        <w:r>
          <w:rPr>
            <w:rStyle w:val="Lienhypertexte"/>
            <w:vertAlign w:val="superscript"/>
          </w:rPr>
          <w:t xml:space="preserve">107</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b398e3a-1644-4970-9a96-b18aa0d36224"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b398e3a-1644-4970-9a96-b18aa0d36224"/>
      <w:r>
        <w:rPr>
          <w:rFonts/>
          <w:b w:val="true"/>
        </w:rPr>
        <w:t xml:space="preserve">: </w:t>
      </w:r>
      <w:r>
        <w:t xml:space="preserve">Mapa mental da relação entre o pensamento estatístico e o pensamento metodológico.</w:t>
      </w:r>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56</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56</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80"/>
        </w:numPr>
      </w:pPr>
      <w:r>
        <w:t xml:space="preserve">Permitir a replicação do estudo.</w:t>
      </w:r>
      <w:hyperlink w:anchor="ref-chen2020">
        <w:r>
          <w:rPr>
            <w:rStyle w:val="Lienhypertexte"/>
            <w:vertAlign w:val="superscript"/>
          </w:rPr>
          <w:t xml:space="preserve">90</w:t>
        </w:r>
      </w:hyperlink>
    </w:p>
    <w:p>
      <w:pPr>
        <w:numPr>
          <w:ilvl w:val="0"/>
          <w:numId w:val="1180"/>
        </w:numPr>
      </w:pPr>
      <w:r>
        <w:t xml:space="preserve">Meta-analisar os dados junto a estudos similares.</w:t>
      </w:r>
      <w:hyperlink w:anchor="ref-chen2020">
        <w:r>
          <w:rPr>
            <w:rStyle w:val="Lienhypertexte"/>
            <w:vertAlign w:val="superscript"/>
          </w:rPr>
          <w:t xml:space="preserve">90</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9"/>
        </w:numPr>
      </w:pPr>
      <w:r>
        <w:t xml:space="preserve">Exiba os pontos de dados em boxplots.</w:t>
      </w:r>
      <w:hyperlink w:anchor="ref-Weissgerber2019">
        <w:r>
          <w:rPr>
            <w:rStyle w:val="Lienhypertexte"/>
            <w:vertAlign w:val="superscript"/>
          </w:rPr>
          <w:t xml:space="preserve">130</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9"/>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133</w:t>
        </w:r>
      </w:hyperlink>
    </w:p>
    <w:p>
      <w:pPr>
        <w:numPr>
          <w:ilvl w:val="0"/>
          <w:numId w:val="1191"/>
        </w:numPr>
      </w:pPr>
      <w:r>
        <w:t xml:space="preserve">Desafio a ideias aceitas.</w:t>
      </w:r>
      <w:hyperlink w:anchor="ref-Vandenbroucke2018">
        <w:r>
          <w:rPr>
            <w:rStyle w:val="Lienhypertexte"/>
            <w:vertAlign w:val="superscript"/>
          </w:rPr>
          <w:t xml:space="preserve">133</w:t>
        </w:r>
      </w:hyperlink>
    </w:p>
    <w:p>
      <w:pPr>
        <w:numPr>
          <w:ilvl w:val="0"/>
          <w:numId w:val="1191"/>
        </w:numPr>
      </w:pPr>
      <w:r>
        <w:t xml:space="preserve">Conflito entre ideias divergentes.</w:t>
      </w:r>
      <w:hyperlink w:anchor="ref-Vandenbroucke2018">
        <w:r>
          <w:rPr>
            <w:rStyle w:val="Lienhypertexte"/>
            <w:vertAlign w:val="superscript"/>
          </w:rPr>
          <w:t xml:space="preserve">133</w:t>
        </w:r>
      </w:hyperlink>
    </w:p>
    <w:p>
      <w:pPr>
        <w:numPr>
          <w:ilvl w:val="0"/>
          <w:numId w:val="1191"/>
        </w:numPr>
      </w:pPr>
      <w:r>
        <w:t xml:space="preserve">Variações regionais, temporais e populacionais.</w:t>
      </w:r>
      <w:hyperlink w:anchor="ref-Vandenbroucke2018">
        <w:r>
          <w:rPr>
            <w:rStyle w:val="Lienhypertexte"/>
            <w:vertAlign w:val="superscript"/>
          </w:rPr>
          <w:t xml:space="preserve">133</w:t>
        </w:r>
      </w:hyperlink>
    </w:p>
    <w:p>
      <w:pPr>
        <w:numPr>
          <w:ilvl w:val="0"/>
          <w:numId w:val="1191"/>
        </w:numPr>
      </w:pPr>
      <w:r>
        <w:t xml:space="preserve">Experiências dos próprios pesquisadores.</w:t>
      </w:r>
      <w:hyperlink w:anchor="ref-Vandenbroucke2018">
        <w:r>
          <w:rPr>
            <w:rStyle w:val="Lienhypertexte"/>
            <w:vertAlign w:val="superscript"/>
          </w:rPr>
          <w:t xml:space="preserve">133</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6"/>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8"/>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8"/>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20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0"/>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2"/>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2"/>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3"/>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4"/>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6"/>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7"/>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7"/>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8"/>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8"/>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9"/>
        </w:numPr>
      </w:pPr>
      <w:r>
        <w:t xml:space="preserve">Razão de verossimilhança.</w:t>
      </w:r>
      <w:hyperlink w:anchor="ref-wasserstein2016">
        <w:r>
          <w:rPr>
            <w:rStyle w:val="Lienhypertexte"/>
            <w:vertAlign w:val="superscript"/>
          </w:rPr>
          <w:t xml:space="preserve">137</w:t>
        </w:r>
      </w:hyperlink>
    </w:p>
    <w:p>
      <w:pPr>
        <w:numPr>
          <w:ilvl w:val="0"/>
          <w:numId w:val="1209"/>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1"/>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2"/>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Cohen’s d</w:t>
      </w:r>
    </w:p>
    <w:p>
      <w:pPr>
        <w:numPr>
          <w:ilvl w:val="1"/>
          <w:numId w:val="1213"/>
        </w:numPr>
      </w:pPr>
      <w:r>
        <w:t xml:space="preserve">Glass’s</w:t>
      </w:r>
      <w:r>
        <w:t xml:space="preserve"> </w:t>
      </w:r>
      <m:oMath>
        <m:r>
          <m:t>Δ</m:t>
        </m:r>
      </m:oMath>
    </w:p>
    <w:p>
      <w:pPr>
        <w:numPr>
          <w:ilvl w:val="1"/>
          <w:numId w:val="1213"/>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3"/>
        </w:numPr>
      </w:pPr>
      <w:r>
        <w:t xml:space="preserve">Risco relativo ou razão de risco (</w:t>
      </w:r>
      <m:oMath>
        <m:r>
          <m:t>R</m:t>
        </m:r>
        <m:r>
          <m:t>R</m:t>
        </m:r>
      </m:oMath>
      <w:r>
        <w:t xml:space="preserve">)</w:t>
      </w:r>
    </w:p>
    <w:p>
      <w:pPr>
        <w:numPr>
          <w:ilvl w:val="0"/>
          <w:numId w:val="1212"/>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Coeficiente de correlação de Pearson (</w:t>
      </w:r>
      <m:oMath>
        <m:r>
          <m:t>r</m:t>
        </m:r>
      </m:oMath>
      <w:r>
        <w:t xml:space="preserve">)</w:t>
      </w:r>
    </w:p>
    <w:p>
      <w:pPr>
        <w:numPr>
          <w:ilvl w:val="1"/>
          <w:numId w:val="1214"/>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5"/>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6"/>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2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2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4"/>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7"/>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8"/>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9"/>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30"/>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30"/>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1"/>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1"/>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2"/>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3"/>
        </w:numPr>
      </w:pPr>
      <w:r>
        <w:t xml:space="preserve">Hipóteses:</w:t>
      </w:r>
      <w:hyperlink w:anchor="ref-allison2022">
        <w:r>
          <w:rPr>
            <w:rStyle w:val="Lienhypertexte"/>
            <w:vertAlign w:val="superscript"/>
          </w:rPr>
          <w:t xml:space="preserve">142</w:t>
        </w:r>
      </w:hyperlink>
    </w:p>
    <w:p>
      <w:pPr>
        <w:numPr>
          <w:ilvl w:val="2"/>
          <w:numId w:val="1234"/>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3"/>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5"/>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6"/>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7"/>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7"/>
        </w:numPr>
      </w:pPr>
      <w:r>
        <w:t xml:space="preserve">Tipo: paramétrico.</w:t>
      </w:r>
      <w:hyperlink w:anchor="ref-khamis2008">
        <w:r>
          <w:rPr>
            <w:rStyle w:val="Lienhypertexte"/>
            <w:vertAlign w:val="superscript"/>
          </w:rPr>
          <w:t xml:space="preserve">141</w:t>
        </w:r>
      </w:hyperlink>
    </w:p>
    <w:p>
      <w:pPr>
        <w:numPr>
          <w:ilvl w:val="1"/>
          <w:numId w:val="1237"/>
        </w:numPr>
      </w:pPr>
      <w:r>
        <w:t xml:space="preserve">Hipóteses:</w:t>
      </w:r>
      <w:hyperlink w:anchor="ref-khamis2008">
        <w:r>
          <w:rPr>
            <w:rStyle w:val="Lienhypertexte"/>
            <w:vertAlign w:val="superscript"/>
          </w:rPr>
          <w:t xml:space="preserve">141</w:t>
        </w:r>
      </w:hyperlink>
    </w:p>
    <w:p>
      <w:pPr>
        <w:numPr>
          <w:ilvl w:val="2"/>
          <w:numId w:val="1238"/>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8"/>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7"/>
        </w:numPr>
      </w:pPr>
      <w:r>
        <w:t xml:space="preserve">Tamanho do efeito:</w:t>
      </w:r>
      <w:hyperlink w:anchor="ref-khamis2008">
        <w:r>
          <w:rPr>
            <w:rStyle w:val="Lienhypertexte"/>
            <w:vertAlign w:val="superscript"/>
          </w:rPr>
          <w:t xml:space="preserve">141</w:t>
        </w:r>
      </w:hyperlink>
    </w:p>
    <w:p>
      <w:pPr>
        <w:numPr>
          <w:ilvl w:val="2"/>
          <w:numId w:val="1239"/>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0"/>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1"/>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3"/>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4"/>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5"/>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6"/>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7"/>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7"/>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8"/>
        </w:numPr>
      </w:pPr>
      <w:r>
        <w:t xml:space="preserve">As variáveis são ordinais ou categóricas nominais, de modo que as células representem frequência.</w:t>
      </w:r>
    </w:p>
    <w:p>
      <w:pPr>
        <w:numPr>
          <w:ilvl w:val="2"/>
          <w:numId w:val="1248"/>
        </w:numPr>
      </w:pPr>
      <w:r>
        <w:t xml:space="preserve">Os níveis dos fatores (variáveis categóricas) são mutuamente exclusivos.</w:t>
      </w:r>
    </w:p>
    <w:p>
      <w:pPr>
        <w:numPr>
          <w:ilvl w:val="2"/>
          <w:numId w:val="1248"/>
        </w:numPr>
      </w:pPr>
      <w:r>
        <w:t xml:space="preserve">Tamanho de amostra grande e adequado porque é baseado em uma abordagem de aproximação.</w:t>
      </w:r>
    </w:p>
    <w:p>
      <w:pPr>
        <w:numPr>
          <w:ilvl w:val="2"/>
          <w:numId w:val="1248"/>
        </w:numPr>
      </w:pPr>
      <w:r>
        <w:t xml:space="preserve">Menos de 20% das células com frequências esperadas &lt; 5</w:t>
      </w:r>
    </w:p>
    <w:p>
      <w:pPr>
        <w:numPr>
          <w:ilvl w:val="2"/>
          <w:numId w:val="1248"/>
        </w:numPr>
      </w:pPr>
      <w:r>
        <w:t xml:space="preserve">Nenhuma célula com frequência esperada &lt; 1.</w:t>
      </w:r>
    </w:p>
    <w:p>
      <w:pPr>
        <w:numPr>
          <w:ilvl w:val="1"/>
          <w:numId w:val="1247"/>
        </w:numPr>
      </w:pPr>
      <w:r>
        <w:t xml:space="preserve">Hipóteses:</w:t>
      </w:r>
      <w:hyperlink w:anchor="ref-Kim2017a">
        <w:r>
          <w:rPr>
            <w:rStyle w:val="Lienhypertexte"/>
            <w:vertAlign w:val="superscript"/>
          </w:rPr>
          <w:t xml:space="preserve">144</w:t>
        </w:r>
      </w:hyperlink>
    </w:p>
    <w:p>
      <w:pPr>
        <w:numPr>
          <w:ilvl w:val="2"/>
          <w:numId w:val="1249"/>
        </w:numPr>
      </w:pPr>
      <w:r>
        <w:t xml:space="preserve">Nula (</w:t>
      </w:r>
      <m:oMath>
        <m:sSub>
          <m:e>
            <m:r>
              <m:t>H</m:t>
            </m:r>
          </m:e>
          <m:sub>
            <m:r>
              <m:t>0</m:t>
            </m:r>
          </m:sub>
        </m:sSub>
      </m:oMath>
      <w:r>
        <w:t xml:space="preserve">): independente (sem associação)</w:t>
      </w:r>
    </w:p>
    <w:p>
      <w:pPr>
        <w:numPr>
          <w:ilvl w:val="2"/>
          <w:numId w:val="1249"/>
        </w:numPr>
      </w:pPr>
      <w:r>
        <w:t xml:space="preserve">Alternativa (</w:t>
      </w:r>
      <m:oMath>
        <m:sSub>
          <m:e>
            <m:r>
              <m:t>H</m:t>
            </m:r>
          </m:e>
          <m:sub>
            <m:r>
              <m:t>1</m:t>
            </m:r>
          </m:sub>
        </m:sSub>
      </m:oMath>
      <w:r>
        <w:t xml:space="preserve">): não independente (associação)</w:t>
      </w:r>
    </w:p>
    <w:p>
      <w:pPr>
        <w:numPr>
          <w:ilvl w:val="1"/>
          <w:numId w:val="1247"/>
        </w:numPr>
      </w:pPr>
      <w:r>
        <w:t xml:space="preserve">Tamanho do efeito:</w:t>
      </w:r>
      <w:hyperlink w:anchor="ref-Kim2017a">
        <w:r>
          <w:rPr>
            <w:rStyle w:val="Lienhypertexte"/>
            <w:vertAlign w:val="superscript"/>
          </w:rPr>
          <w:t xml:space="preserve">144</w:t>
        </w:r>
      </w:hyperlink>
    </w:p>
    <w:p>
      <w:pPr>
        <w:numPr>
          <w:ilvl w:val="2"/>
          <w:numId w:val="1250"/>
        </w:numPr>
      </w:pPr>
      <w:r>
        <w:t xml:space="preserve">Phi (</w:t>
      </w:r>
      <m:oMath>
        <m:r>
          <m:t>ϕ</m:t>
        </m:r>
      </m:oMath>
      <w:r>
        <w:t xml:space="preserve">), para tabelas de contingência 2x2</w:t>
      </w:r>
    </w:p>
    <w:p>
      <w:pPr>
        <w:numPr>
          <w:ilvl w:val="2"/>
          <w:numId w:val="125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1"/>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2"/>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Nula (</w:t>
      </w:r>
      <m:oMath>
        <m:sSub>
          <m:e>
            <m:r>
              <m:t>H</m:t>
            </m:r>
          </m:e>
          <m:sub>
            <m:r>
              <m:t>0</m:t>
            </m:r>
          </m:sub>
        </m:sSub>
      </m:oMath>
      <w:r>
        <w:t xml:space="preserve">): independente (sem associação)</w:t>
      </w:r>
    </w:p>
    <w:p>
      <w:pPr>
        <w:numPr>
          <w:ilvl w:val="2"/>
          <w:numId w:val="1253"/>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4"/>
        </w:numPr>
      </w:pPr>
      <w:r>
        <w:t xml:space="preserve">Phi (</w:t>
      </w:r>
      <m:oMath>
        <m:r>
          <m:t>ϕ</m:t>
        </m:r>
      </m:oMath>
      <w:r>
        <w:t xml:space="preserve">), para tabelas de contingência 2x2</w:t>
      </w:r>
    </w:p>
    <w:p>
      <w:pPr>
        <w:numPr>
          <w:ilvl w:val="2"/>
          <w:numId w:val="125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5"/>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6"/>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6"/>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9"/>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60"/>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60"/>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60"/>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1"/>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1"/>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1"/>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2"/>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6"/>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2"/>
        </w:numPr>
      </w:pPr>
      <w:r>
        <w:t xml:space="preserve">.</w:t>
      </w:r>
      <w:hyperlink w:anchor="ref-Baron1986">
        <w:r>
          <w:rPr>
            <w:rStyle w:val="Lienhypertexte"/>
            <w:vertAlign w:val="superscript"/>
          </w:rPr>
          <w:t xml:space="preserve">151</w:t>
        </w:r>
      </w:hyperlink>
    </w:p>
    <w:p>
      <w:pPr>
        <w:numPr>
          <w:ilvl w:val="0"/>
          <w:numId w:val="1272"/>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3"/>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3"/>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6"/>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7"/>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7"/>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7"/>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8"/>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9"/>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8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1"/>
        </w:numPr>
      </w:pPr>
      <w:r>
        <w:t xml:space="preserve">Use nomes consistentes para as variáveis.</w:t>
      </w:r>
      <w:hyperlink w:anchor="ref-SchwabSimon2021">
        <w:r>
          <w:rPr>
            <w:rStyle w:val="Lienhypertexte"/>
            <w:vertAlign w:val="superscript"/>
          </w:rPr>
          <w:t xml:space="preserve">157</w:t>
        </w:r>
      </w:hyperlink>
    </w:p>
    <w:p>
      <w:pPr>
        <w:numPr>
          <w:ilvl w:val="0"/>
          <w:numId w:val="1281"/>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1"/>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1"/>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1"/>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1"/>
        </w:numPr>
      </w:pPr>
      <w:r>
        <w:t xml:space="preserve">Teste o script antes de sua utilização.</w:t>
      </w:r>
      <w:hyperlink w:anchor="ref-SchwabSimon2021">
        <w:r>
          <w:rPr>
            <w:rStyle w:val="Lienhypertexte"/>
            <w:vertAlign w:val="superscript"/>
          </w:rPr>
          <w:t xml:space="preserve">157</w:t>
        </w:r>
      </w:hyperlink>
    </w:p>
    <w:p>
      <w:pPr>
        <w:numPr>
          <w:ilvl w:val="0"/>
          <w:numId w:val="1281"/>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2"/>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2"/>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3"/>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4"/>
        </w:numPr>
      </w:pPr>
      <w:hyperlink r:id="rId406">
        <w:r>
          <w:rPr>
            <w:rStyle w:val="Lienhypertexte"/>
          </w:rPr>
          <w:t xml:space="preserve">diag-stats.R</w:t>
        </w:r>
      </w:hyperlink>
    </w:p>
    <w:p>
      <w:pPr>
        <w:numPr>
          <w:ilvl w:val="0"/>
          <w:numId w:val="1284"/>
        </w:numPr>
      </w:pPr>
      <w:hyperlink r:id="rId407">
        <w:r>
          <w:rPr>
            <w:rStyle w:val="Lienhypertexte"/>
          </w:rPr>
          <w:t xml:space="preserve">dtROC.R</w:t>
        </w:r>
      </w:hyperlink>
    </w:p>
    <w:p>
      <w:pPr>
        <w:numPr>
          <w:ilvl w:val="0"/>
          <w:numId w:val="1284"/>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5"/>
        </w:numPr>
      </w:pPr>
      <w:hyperlink r:id="rId410">
        <w:r>
          <w:rPr>
            <w:rStyle w:val="Lienhypertexte"/>
          </w:rPr>
          <w:t xml:space="preserve">RCT-Figure1.R</w:t>
        </w:r>
      </w:hyperlink>
    </w:p>
    <w:p>
      <w:pPr>
        <w:numPr>
          <w:ilvl w:val="0"/>
          <w:numId w:val="1285"/>
        </w:numPr>
      </w:pPr>
      <w:hyperlink r:id="rId411">
        <w:r>
          <w:rPr>
            <w:rStyle w:val="Lienhypertexte"/>
          </w:rPr>
          <w:t xml:space="preserve">RCT-Missingness.R</w:t>
        </w:r>
      </w:hyperlink>
    </w:p>
    <w:p>
      <w:pPr>
        <w:numPr>
          <w:ilvl w:val="0"/>
          <w:numId w:val="1285"/>
        </w:numPr>
      </w:pPr>
      <w:hyperlink r:id="rId412">
        <w:r>
          <w:rPr>
            <w:rStyle w:val="Lienhypertexte"/>
          </w:rPr>
          <w:t xml:space="preserve">RCT-Table1.R</w:t>
        </w:r>
      </w:hyperlink>
    </w:p>
    <w:p>
      <w:pPr>
        <w:numPr>
          <w:ilvl w:val="0"/>
          <w:numId w:val="1285"/>
        </w:numPr>
      </w:pPr>
      <w:hyperlink r:id="rId413">
        <w:r>
          <w:rPr>
            <w:rStyle w:val="Lienhypertexte"/>
          </w:rPr>
          <w:t xml:space="preserve">RCT-Table2a.R</w:t>
        </w:r>
      </w:hyperlink>
    </w:p>
    <w:p>
      <w:pPr>
        <w:numPr>
          <w:ilvl w:val="0"/>
          <w:numId w:val="1285"/>
        </w:numPr>
      </w:pPr>
      <w:hyperlink r:id="rId414">
        <w:r>
          <w:rPr>
            <w:rStyle w:val="Lienhypertexte"/>
          </w:rPr>
          <w:t xml:space="preserve">RCT-Table2b.R</w:t>
        </w:r>
      </w:hyperlink>
    </w:p>
    <w:p>
      <w:pPr>
        <w:numPr>
          <w:ilvl w:val="0"/>
          <w:numId w:val="1285"/>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6"/>
        </w:numPr>
      </w:pPr>
      <w:hyperlink r:id="rId417">
        <w:r>
          <w:rPr>
            <w:rStyle w:val="Lienhypertexte"/>
          </w:rPr>
          <w:t xml:space="preserve">crossover.R</w:t>
        </w:r>
      </w:hyperlink>
    </w:p>
    <w:p>
      <w:pPr>
        <w:numPr>
          <w:ilvl w:val="0"/>
          <w:numId w:val="1286"/>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7"/>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8"/>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9"/>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90"/>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90"/>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90"/>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1"/>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2"/>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3"/>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3"/>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3"/>
        </w:numPr>
      </w:pPr>
      <w:r>
        <w:t xml:space="preserve">Crie links persistentes para versões do seu script.</w:t>
      </w:r>
      <w:hyperlink w:anchor="ref-Eglen2017">
        <w:r>
          <w:rPr>
            <w:rStyle w:val="Lienhypertexte"/>
            <w:vertAlign w:val="superscript"/>
          </w:rPr>
          <w:t xml:space="preserve">158</w:t>
        </w:r>
      </w:hyperlink>
    </w:p>
    <w:p>
      <w:pPr>
        <w:numPr>
          <w:ilvl w:val="0"/>
          <w:numId w:val="1293"/>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3"/>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3"/>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4"/>
        </w:numPr>
      </w:pPr>
      <w:r>
        <w:t xml:space="preserve">.</w:t>
      </w:r>
      <w:hyperlink w:anchor="ref-R-rmarkdown">
        <w:r>
          <w:rPr>
            <w:rStyle w:val="Lienhypertexte"/>
            <w:vertAlign w:val="superscript"/>
          </w:rPr>
          <w:t xml:space="preserve">167</w:t>
        </w:r>
      </w:hyperlink>
    </w:p>
    <w:p>
      <w:pPr>
        <w:numPr>
          <w:ilvl w:val="0"/>
          <w:numId w:val="1294"/>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4"/>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5"/>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7"/>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8"/>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9"/>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9"/>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9"/>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9"/>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9"/>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30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30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30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1"/>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2"/>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3"/>
        </w:numPr>
      </w:pPr>
      <w:hyperlink r:id="rId456">
        <w:r>
          <w:rPr>
            <w:rStyle w:val="Lienhypertexte"/>
            <w:iCs/>
            <w:i/>
          </w:rPr>
          <w:t xml:space="preserve">Statistics</w:t>
        </w:r>
      </w:hyperlink>
    </w:p>
    <w:p>
      <w:pPr>
        <w:numPr>
          <w:ilvl w:val="0"/>
          <w:numId w:val="1303"/>
        </w:numPr>
      </w:pPr>
      <w:hyperlink r:id="rId457">
        <w:r>
          <w:rPr>
            <w:rStyle w:val="Lienhypertexte"/>
            <w:iCs/>
            <w:i/>
          </w:rPr>
          <w:t xml:space="preserve">Exploration in Statistics</w:t>
        </w:r>
      </w:hyperlink>
    </w:p>
    <w:p>
      <w:pPr>
        <w:numPr>
          <w:ilvl w:val="0"/>
          <w:numId w:val="1303"/>
        </w:numPr>
      </w:pPr>
      <w:hyperlink r:id="rId458">
        <w:r>
          <w:rPr>
            <w:rStyle w:val="Lienhypertexte"/>
            <w:iCs/>
            <w:i/>
          </w:rPr>
          <w:t xml:space="preserve">General Statistics</w:t>
        </w:r>
      </w:hyperlink>
    </w:p>
    <w:p>
      <w:pPr>
        <w:numPr>
          <w:ilvl w:val="0"/>
          <w:numId w:val="1303"/>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4"/>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5"/>
        </w:numPr>
      </w:pPr>
      <w:hyperlink r:id="rId463">
        <w:r>
          <w:rPr>
            <w:rStyle w:val="Lienhypertexte"/>
            <w:iCs/>
            <w:i/>
          </w:rPr>
          <w:t xml:space="preserve">Statistics - Latest from The BMJ</w:t>
        </w:r>
      </w:hyperlink>
    </w:p>
    <w:p>
      <w:pPr>
        <w:numPr>
          <w:ilvl w:val="0"/>
          <w:numId w:val="1305"/>
        </w:numPr>
      </w:pPr>
      <w:hyperlink r:id="rId464">
        <w:r>
          <w:rPr>
            <w:rStyle w:val="Lienhypertexte"/>
            <w:iCs/>
            <w:i/>
          </w:rPr>
          <w:t xml:space="preserve">Statistics notes - Latest from The BMJ</w:t>
        </w:r>
      </w:hyperlink>
    </w:p>
    <w:p>
      <w:pPr>
        <w:numPr>
          <w:ilvl w:val="0"/>
          <w:numId w:val="1305"/>
        </w:numPr>
      </w:pPr>
      <w:hyperlink r:id="rId465">
        <w:r>
          <w:rPr>
            <w:rStyle w:val="Lienhypertexte"/>
            <w:iCs/>
            <w:i/>
          </w:rPr>
          <w:t xml:space="preserve">Statistics and research methods - Latest from The BMJ</w:t>
        </w:r>
      </w:hyperlink>
    </w:p>
    <w:p>
      <w:pPr>
        <w:numPr>
          <w:ilvl w:val="0"/>
          <w:numId w:val="1305"/>
        </w:numPr>
      </w:pPr>
      <w:hyperlink r:id="rId466">
        <w:r>
          <w:rPr>
            <w:rStyle w:val="Lienhypertexte"/>
            <w:iCs/>
            <w:i/>
          </w:rPr>
          <w:t xml:space="preserve">Statistics at Square One</w:t>
        </w:r>
      </w:hyperlink>
    </w:p>
    <w:p>
      <w:pPr>
        <w:numPr>
          <w:ilvl w:val="0"/>
          <w:numId w:val="1305"/>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6"/>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7"/>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8"/>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9"/>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10"/>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1"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21" Type="http://schemas.openxmlformats.org/officeDocument/2006/relationships/hyperlink" Target="https://doi.org/10.5281/zenodo.8320233"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2023-10-13T16:42:22Z</dcterms:created>
  <dcterms:modified xsi:type="dcterms:W3CDTF">2023-10-13T13:42:23Z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