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MASLD Status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\line 
            <w:r>
              <w:rPr>
                <w:rFonts w:ascii="Calibri" w:hAnsi="Calibri"/>
                <w:sz w:val="20"/>
              </w:rPr>
              <w:t xml:space="preserve">n = 3034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Control</w:t>
            </w:r>
            \line 
            <w:r>
              <w:rPr>
                <w:rFonts w:ascii="Calibri" w:hAnsi="Calibri"/>
                <w:sz w:val="20"/>
              </w:rPr>
              <w:t xml:space="preserve">n = 1965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MASLD</w:t>
            </w:r>
            \line 
            <w:r>
              <w:rPr>
                <w:rFonts w:ascii="Calibri" w:hAnsi="Calibri"/>
                <w:sz w:val="20"/>
              </w:rPr>
              <w:t xml:space="preserve">n = 1069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± 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883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571 (56%)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Educational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 High school/GED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1,177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573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Income-to-Poverty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 ±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 ±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± 1.62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±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± 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 circumference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± 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± 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Overweight/Obesity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1,469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1,042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± 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± 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722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±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± 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± 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LDL-C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± 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Triglycerides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± 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± 109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 HDL-C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876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± 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± 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HbA1c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5.69 ±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5.48 ± 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6.09 ± 1.24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Prediabetes/Diabetes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1,223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931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energy intake (kcal/day)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2,064 ± 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2,037 ± 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2,115 ± 819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Sugar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± 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± 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± 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Saturated fat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± 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1,228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613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Former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(8.2%)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Former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Non-heavy Drinker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1,992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1,317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675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Physical activity (≥150 min/week)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635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Sedentary behavior (min/day)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 ± 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 ± 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 ± 222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CAP (dB/m)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 ± 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 ±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 ± 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Liver stiffness (kPa)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± 3.91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5.01 ± 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6.82 ± 5.22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Advanced liver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(6.7%)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Data presented as unweighted n and weighted percentage (%) for categorical variables, and mean ± standard deviation for continuous variables. Estimates are weighted to be representative of the non-institutionalized U.S. adult population using NHANES fasting subsample weights and accounting for the complex survey design. Weighted sample size: n = 195963922.954713. CAP = Controlled Attenuation Parameter; MASLD = Metabolic dysfunction-associated steatotic liver disease; MVPA = Moderate-to-Vigorous Physical Activity; BP = Blood Pressure; HDL-C = High-Density Lipoprotein Cholesterol; LDL-C = Low-Density Lipoprotein Cholesterol.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2026-09-13T18:01:23Z</dcterms:created>
  <dcterms:modified xsi:type="dcterms:W3CDTF">2026-09-13T18:01:23Z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