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Sedentary Behaviour Quintiles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Variables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All Participants</w:t>
            </w:r>
            \line 
            <w:r>
              <w:rPr>
                <w:rFonts w:ascii="Calibri" w:hAnsi="Calibri"/>
                <w:sz w:val="20"/>
              </w:rPr>
              <w:t xml:space="preserve">N = 171711851.64708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1st Quintile</w:t>
            </w:r>
            <w:r>
              <w:rPr>
                <w:rFonts w:ascii="Calibri" w:hAnsi="Calibri"/>
                <w:sz w:val="20"/>
              </w:rPr>
              <w:t xml:space="preserve"> </w:t>
            </w:r>
            \line 
            <w:r>
              <w:rPr>
                <w:rFonts w:ascii="Calibri" w:hAnsi="Calibri"/>
                <w:sz w:val="20"/>
              </w:rPr>
              <w:t xml:space="preserve">N = 29958395.1796981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2nd Quintile</w:t>
            </w:r>
            <w:r>
              <w:rPr>
                <w:rFonts w:ascii="Calibri" w:hAnsi="Calibri"/>
                <w:sz w:val="20"/>
              </w:rPr>
              <w:t xml:space="preserve"> </w:t>
            </w:r>
            \line 
            <w:r>
              <w:rPr>
                <w:rFonts w:ascii="Calibri" w:hAnsi="Calibri"/>
                <w:sz w:val="20"/>
              </w:rPr>
              <w:t xml:space="preserve">N = 33670734.6019899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3rd Quintile</w:t>
            </w:r>
            <w:r>
              <w:rPr>
                <w:rFonts w:ascii="Calibri" w:hAnsi="Calibri"/>
                <w:sz w:val="20"/>
              </w:rPr>
              <w:t xml:space="preserve"> </w:t>
            </w:r>
            \line 
            <w:r>
              <w:rPr>
                <w:rFonts w:ascii="Calibri" w:hAnsi="Calibri"/>
                <w:sz w:val="20"/>
              </w:rPr>
              <w:t xml:space="preserve">N = 32151605.6564404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4th Quintile</w:t>
            </w:r>
            <w:r>
              <w:rPr>
                <w:rFonts w:ascii="Calibri" w:hAnsi="Calibri"/>
                <w:sz w:val="20"/>
              </w:rPr>
              <w:t xml:space="preserve"> </w:t>
            </w:r>
            \line 
            <w:r>
              <w:rPr>
                <w:rFonts w:ascii="Calibri" w:hAnsi="Calibri"/>
                <w:sz w:val="20"/>
              </w:rPr>
              <w:t xml:space="preserve">N = 33461674.97519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5th Quintile</w:t>
            </w:r>
            <w:r>
              <w:rPr>
                <w:rFonts w:ascii="Calibri" w:hAnsi="Calibri"/>
                <w:sz w:val="20"/>
              </w:rPr>
              <w:t xml:space="preserve"> </w:t>
            </w:r>
            \line 
            <w:r>
              <w:rPr>
                <w:rFonts w:ascii="Calibri" w:hAnsi="Calibri"/>
                <w:sz w:val="20"/>
              </w:rPr>
              <w:t xml:space="preserve">N = 42469441.2337619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 (yr)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± 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± 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± 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± 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± 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± 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Sex (M/F)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87,415,471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15,630,783 (52%)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17,088,013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14,829,748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17,348,174 (52%)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22,518,753 (53%)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84,296,381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14,327,612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16,582,722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17,321,858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16,113,501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19,950,688 (47%)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28,052,894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9,465,830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5,874,925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4,676,042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4,344,584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3,691,514 (8.7%)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107,984,325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14,000,697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21,266,629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19,746,147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22,419,543 (67%)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30,551,310 (72%)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19,041,063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3,606,894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3,821,580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4,271,914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3,142,626 (9.4%)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4,198,049 (9.9%)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16,633,570 (9.7%)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2,884,975 (9.6%)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2,707,601 (8.0%)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3,457,503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3,554,922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4,028,569 (9.5%)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15,793,210 (9.2%)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5,694,517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3,127,551 (9.3%)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2,418,206 (7.5%)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2,325,274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2,227,662 (5.2%)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42,909,327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10,319,766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9,514,406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9,701,677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6,406,148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6,967,331 (16%)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52,614,771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8,550,189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10,832,151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9,055,739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10,762,158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13,414,533 (32%)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60,380,152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5,393,923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10,196,626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10,975,984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13,968,096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19,845,524 (47%)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Poverty Income Ratio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3.31 ± 1.60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2.60 ± 1.61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3.20 ± 1.57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3.15 ± 1.62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3.58 ± 1.49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3.77 ± 1.48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BMI (Kg/m²)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± 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± 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± 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± 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± 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± 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Waist Circumference (cm)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 ± 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 ± 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 ± 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 ± 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 ± 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101 ± 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Overweight/Obesity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45,124,061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9,729,369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7,778,540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9,059,969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8,409,383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10,146,800 (24%)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125,942,783 (74%)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20,045,684 (67%)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25,743,007 (77%)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23,015,467 (72%)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24,967,471 (75%)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32,171,154 (76%)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SBP (mmHg)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 ± 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119 ± 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121 ± 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 ± 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121 ± 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119 ± 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DBP (mmHg)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± 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 ± 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± 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± 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 ± 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± 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100,275,906 (58%)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18,651,392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19,541,235 (58%)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18,705,947 (58%)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19,770,404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23,606,929 (56%)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71,435,945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11,307,004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14,129,500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13,445,659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13,691,271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18,862,512 (44%)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Total Cholesterol (mg/dL)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186 ± 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183 ± 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192 ± 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186 ± 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185 ± 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184 ± 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LDL-Cholesterol (mg/dL)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110 ± 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 ± 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114 ± 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111 ± 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110 ± 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109 ± 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HDL-Cholesterol (mg/dL)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± 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± 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 ± 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± 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 ± 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 ± 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Fasting Triglycerides (mg/dL)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110 ± 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107 ± 101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112 ± 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 ± 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114 ± 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111 ± 76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Low-HDL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124,174,300 (73%)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21,665,620 (73%)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25,334,148 (76%)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22,188,464 (70%)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22,724,036 (70%)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32,262,031 (77%)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45,407,558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7,963,962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8,097,475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9,705,718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9,757,437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9,882,966 (23%)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Hypertriglyceridemia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114,348,764 (67%)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21,956,064 (74%)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22,771,728 (68%)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20,026,585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21,483,954 (66%)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28,110,434 (67%)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55,465,026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7,801,275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10,659,896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11,867,597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11,053,113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14,083,145 (33%)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Fasting Glucose (mg/dL)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 ± 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 ± 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111 ± 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 ± 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105 ± 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 ± 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Insulin (µU/mL)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± 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± 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± 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± 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± 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± 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HbA1C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5.61 ± 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5.64 ± 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5.70 ±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5.59 ± 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5.51 ± 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5.60 ± 0.98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HOMA-IR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3.82 ± 8.33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3.23 ± 3.55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3.45 ± 4.82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3.65 ± 4.07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4.06 ± 10.02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4.49 ± 12.69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Dysglycaemia or DM2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59,970,981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10,881,706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10,988,867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11,112,780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12,291,737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14,695,893 (35%)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111,740,870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19,076,690 (64%)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22,681,868 (67%)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21,038,826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21,169,938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27,773,549 (65%)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GGT (U/L)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± 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± 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± 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± 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± 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± 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ALT (U/L)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± 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± 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± 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± 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± 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± 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AST (U/L)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± 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± 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± 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± 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± 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± 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ALT/AST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 ± 0.35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± 0.35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 ± 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 ± 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 ± 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 ± 0.38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Total Energy Intake (kcal/d)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2,115 ± 799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2,078 ± 878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2,121 ± 812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2,078 ± 846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2,154 ± 776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2,132 ± 705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Smoking Habit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100,647,680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17,546,251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17,618,416 (52%)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18,910,562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19,575,442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26,997,010 (64%)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44,469,963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6,208,156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10,113,679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7,516,717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10,140,295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10,491,116 (25%)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26,557,204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6,203,988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5,938,640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5,724,326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3,708,934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4,981,315 (12%)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Alcohol Intake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13,475,724 (7.8%)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2,956,561 (9.9%)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3,127,950 (9.3%)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2,394,443 (7.4%)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2,509,964 (7.5%)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2,486,806 (5.9%)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24,068,933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3,951,795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4,801,029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4,840,003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5,552,672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4,923,434 (12%)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134,167,195 (78%)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23,050,039 (77%)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25,741,756 (76%)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24,917,160 (77%)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25,399,039 (76%)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35,059,202 (83%)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Sedentary Behavior (h)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354 ± 204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106 ± 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204 ± 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294 ± 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422 ± 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640 ± 114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Median CAP (dB/m)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261 ± 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250 ± 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263 ± 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261 ± 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260 ± 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269 ± 61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Liver Stifness (Kpa)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5.47 ± 3.13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5.35 ± 3.29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5.75 ± 4.00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5.57 ± 2.21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5.29 ± 3.54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5.38 ± 2.41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MASLD (CAP ≥ 248 db/m)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79,667,134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16,202,254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14,535,122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15,310,807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15,624,305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17,994,645 (42%)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92,044,718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13,756,141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19,135,612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16,840,798 (52%)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17,837,370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24,474,796 (58%)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Hepatic Advanced Fibrosis (LSM ≥ 8 kPa)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158,092,753 (92%)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28,007,872 (93%)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30,710,977 (91%)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29,060,813 (90%)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31,718,014 (95%)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38,595,075 (91%)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13,619,099 (7.9%)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1,950,523 (6.5%)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2,959,757 (8.8%)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3,090,792 (9.6%)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1,743,661 (5.2%)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3,874,366 (9.1%)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NAFLD (CAP ≥ 248 db/m)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74,370,555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15,157,393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13,564,111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13,889,200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14,989,762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16,770,089 (39%)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97,341,297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14,801,002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20,106,623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18,262,406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18,471,913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25,699,352 (61%)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HSI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± 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± 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± 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± 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± 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± 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FLI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 ± 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 ± 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 ± 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 ± 0.35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 ± 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 ± 0.34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MVPA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1,232 ± 1,810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2,114 ± 2,481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1,653 ± 1,946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1,139 ± 1,743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940 ± 1,445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576 ± 884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Work-Related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668 ± 1,143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1,201 ± 1,535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978 ± 1,282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610 ± 1,034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480 ± 927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236 ± 582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Walking or Bicycling for Transportation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 ± 239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 ± 318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± 240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 ± 339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 ± 132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± 110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Leisure-Time Physical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176 ± 263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188 ± 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179 ± 259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174 ± 263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178 ± 271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165 ± 230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Mean ± SD; n (%)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2025-04-27T16:33:08Z</dcterms:created>
  <dcterms:modified xsi:type="dcterms:W3CDTF">2025-04-27T16:33:08Z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