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F327F" w14:textId="4C8EE6A7" w:rsidR="0035491D" w:rsidRDefault="00C273F8" w:rsidP="00C273F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60DC9">
        <w:rPr>
          <w:rFonts w:ascii="Times New Roman" w:hAnsi="Times New Roman" w:cs="Times New Roman"/>
          <w:b/>
          <w:bCs/>
          <w:sz w:val="20"/>
          <w:szCs w:val="20"/>
        </w:rPr>
        <w:t xml:space="preserve">RESUM </w:t>
      </w:r>
      <w:r w:rsidR="00133347" w:rsidRPr="00660DC9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660DC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1D8B661C" w14:textId="0E3601C8" w:rsidR="003653A7" w:rsidRDefault="003653A7" w:rsidP="003653A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9B1ED57" w14:textId="1C5BEA4D" w:rsidR="003653A7" w:rsidRPr="00660DC9" w:rsidRDefault="003653A7" w:rsidP="003653A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6B001962" w14:textId="4343FBA9" w:rsidR="00133347" w:rsidRPr="00660DC9" w:rsidRDefault="00133347" w:rsidP="00C273F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lk178086716"/>
      <w:r w:rsidRPr="00660DC9">
        <w:rPr>
          <w:rFonts w:ascii="Times New Roman" w:hAnsi="Times New Roman" w:cs="Times New Roman"/>
          <w:sz w:val="20"/>
          <w:szCs w:val="20"/>
        </w:rPr>
        <w:lastRenderedPageBreak/>
        <w:t>L’APRENENTATGE LOGARITMIC</w:t>
      </w:r>
    </w:p>
    <w:p w14:paraId="32373F2A" w14:textId="61368F89" w:rsidR="007B7C6A" w:rsidRPr="00660DC9" w:rsidRDefault="007B7C6A" w:rsidP="00E84248">
      <w:pPr>
        <w:jc w:val="both"/>
        <w:rPr>
          <w:rFonts w:ascii="Times New Roman" w:hAnsi="Times New Roman" w:cs="Times New Roman"/>
          <w:sz w:val="20"/>
          <w:szCs w:val="20"/>
        </w:rPr>
      </w:pPr>
      <w:r w:rsidRPr="00660DC9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l'inici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d'aquest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treball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de recerca una de les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hipòtesis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plantejades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era la forma que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prendrien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els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gràfics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que relacionen la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puntuació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dels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agents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d'intel·ligència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artificial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amb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pas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les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generacions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llarg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d'un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entrenament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. La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nostra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hipòtesi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era que la forma seria logarítmica i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després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de </w:t>
      </w:r>
      <w:r w:rsidR="00FE65B9" w:rsidRPr="00FE65B9">
        <w:rPr>
          <w:rFonts w:ascii="Times New Roman" w:hAnsi="Times New Roman" w:cs="Times New Roman"/>
          <w:sz w:val="20"/>
          <w:szCs w:val="20"/>
        </w:rPr>
        <w:t>3</w:t>
      </w:r>
      <w:r w:rsidR="00FE65B9">
        <w:rPr>
          <w:rFonts w:ascii="Times New Roman" w:hAnsi="Times New Roman" w:cs="Times New Roman"/>
          <w:sz w:val="20"/>
          <w:szCs w:val="20"/>
        </w:rPr>
        <w:t>.</w:t>
      </w:r>
      <w:r w:rsidR="00FE65B9" w:rsidRPr="00FE65B9">
        <w:rPr>
          <w:rFonts w:ascii="Times New Roman" w:hAnsi="Times New Roman" w:cs="Times New Roman"/>
          <w:sz w:val="20"/>
          <w:szCs w:val="20"/>
        </w:rPr>
        <w:t>798</w:t>
      </w:r>
      <w:r w:rsidR="00FE65B9">
        <w:rPr>
          <w:rFonts w:ascii="Times New Roman" w:hAnsi="Times New Roman" w:cs="Times New Roman"/>
          <w:sz w:val="20"/>
          <w:szCs w:val="20"/>
        </w:rPr>
        <w:t xml:space="preserve"> </w:t>
      </w:r>
      <w:r w:rsidRPr="00660DC9">
        <w:rPr>
          <w:rFonts w:ascii="Times New Roman" w:hAnsi="Times New Roman" w:cs="Times New Roman"/>
          <w:sz w:val="20"/>
          <w:szCs w:val="20"/>
        </w:rPr>
        <w:t xml:space="preserve">partides i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més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de </w:t>
      </w:r>
      <w:r w:rsidR="00FE65B9">
        <w:rPr>
          <w:rFonts w:ascii="Times New Roman" w:hAnsi="Times New Roman" w:cs="Times New Roman"/>
          <w:sz w:val="20"/>
          <w:szCs w:val="20"/>
        </w:rPr>
        <w:t>450.000</w:t>
      </w:r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generacions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amb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diferents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paràmetres</w:t>
      </w:r>
      <w:proofErr w:type="spellEnd"/>
      <w:r w:rsidR="00FE65B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FE65B9">
        <w:rPr>
          <w:rFonts w:ascii="Times New Roman" w:hAnsi="Times New Roman" w:cs="Times New Roman"/>
          <w:sz w:val="20"/>
          <w:szCs w:val="20"/>
        </w:rPr>
        <w:t>població</w:t>
      </w:r>
      <w:proofErr w:type="spellEnd"/>
      <w:r w:rsidR="00FE65B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E65B9">
        <w:rPr>
          <w:rFonts w:ascii="Times New Roman" w:hAnsi="Times New Roman" w:cs="Times New Roman"/>
          <w:sz w:val="20"/>
          <w:szCs w:val="20"/>
        </w:rPr>
        <w:t>mutacions</w:t>
      </w:r>
      <w:proofErr w:type="spellEnd"/>
      <w:r w:rsidR="00FE65B9">
        <w:rPr>
          <w:rFonts w:ascii="Times New Roman" w:hAnsi="Times New Roman" w:cs="Times New Roman"/>
          <w:sz w:val="20"/>
          <w:szCs w:val="20"/>
        </w:rPr>
        <w:t xml:space="preserve"> i </w:t>
      </w:r>
      <w:r w:rsidR="00FE65B9" w:rsidRPr="00FE65B9">
        <w:rPr>
          <w:rFonts w:ascii="Times New Roman" w:hAnsi="Times New Roman" w:cs="Times New Roman"/>
          <w:i/>
          <w:iCs/>
          <w:sz w:val="20"/>
          <w:szCs w:val="20"/>
        </w:rPr>
        <w:t>inputs</w:t>
      </w:r>
      <w:r w:rsidR="00FE65B9">
        <w:rPr>
          <w:rFonts w:ascii="Times New Roman" w:hAnsi="Times New Roman" w:cs="Times New Roman"/>
          <w:sz w:val="20"/>
          <w:szCs w:val="20"/>
        </w:rPr>
        <w:t>)</w:t>
      </w:r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vam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concloure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que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efectivament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la forma del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gràfic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demostra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que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  <w:u w:val="single"/>
        </w:rPr>
        <w:t>l'aprenentatge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era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  <w:u w:val="single"/>
        </w:rPr>
        <w:t>logarítmic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>, per confirmar-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ho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utilitzem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un valor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anomenat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BC1321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558CB6A6" w14:textId="2CE6D100" w:rsidR="00E84248" w:rsidRPr="00660DC9" w:rsidRDefault="00E84248" w:rsidP="00E84248">
      <w:pPr>
        <w:jc w:val="both"/>
        <w:rPr>
          <w:rFonts w:ascii="Times New Roman" w:hAnsi="Times New Roman" w:cs="Times New Roman"/>
          <w:sz w:val="20"/>
          <w:szCs w:val="20"/>
        </w:rPr>
      </w:pPr>
      <w:r w:rsidRPr="00660DC9">
        <w:rPr>
          <w:rFonts w:ascii="Times New Roman" w:hAnsi="Times New Roman" w:cs="Times New Roman"/>
          <w:sz w:val="20"/>
          <w:szCs w:val="20"/>
        </w:rPr>
        <w:t xml:space="preserve">La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660DC9">
        <w:rPr>
          <w:rFonts w:ascii="Times New Roman" w:hAnsi="Times New Roman" w:cs="Times New Roman"/>
          <w:sz w:val="20"/>
          <w:szCs w:val="20"/>
        </w:rPr>
        <w:t xml:space="preserve"> (coeficient de determinació) en un gràfic logarítmic mesura que tan bé s'ajusta una línia de tendència logarítmica a les dades. S'interpreta i calcula de manera similar a la 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660DC9">
        <w:rPr>
          <w:rFonts w:ascii="Times New Roman" w:hAnsi="Times New Roman" w:cs="Times New Roman"/>
          <w:sz w:val="20"/>
          <w:szCs w:val="20"/>
        </w:rPr>
        <w:t xml:space="preserve"> en un gràfic lineal, però considerant la transformació logarítmica. El coeficient varia entre 0 i 1, on 1 suggereix que el model logarítmic explica millor la relació entre les variables i 0 el contrari.</w:t>
      </w:r>
      <w:r w:rsidR="00F955B6" w:rsidRPr="00660DC9">
        <w:rPr>
          <w:rFonts w:ascii="Times New Roman" w:hAnsi="Times New Roman" w:cs="Times New Roman"/>
          <w:sz w:val="20"/>
          <w:szCs w:val="20"/>
        </w:rPr>
        <w:t xml:space="preserve"> Es calcula </w:t>
      </w:r>
      <w:proofErr w:type="spellStart"/>
      <w:r w:rsidR="00F955B6" w:rsidRPr="00660DC9">
        <w:rPr>
          <w:rFonts w:ascii="Times New Roman" w:hAnsi="Times New Roman" w:cs="Times New Roman"/>
          <w:sz w:val="20"/>
          <w:szCs w:val="20"/>
        </w:rPr>
        <w:t>amb</w:t>
      </w:r>
      <w:proofErr w:type="spellEnd"/>
      <w:r w:rsidR="00F955B6" w:rsidRPr="00660DC9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7B7C6A" w:rsidRPr="00660DC9">
        <w:rPr>
          <w:rFonts w:ascii="Times New Roman" w:hAnsi="Times New Roman" w:cs="Times New Roman"/>
          <w:sz w:val="20"/>
          <w:szCs w:val="20"/>
        </w:rPr>
        <w:t>següent</w:t>
      </w:r>
      <w:proofErr w:type="spellEnd"/>
      <w:r w:rsidR="00F955B6" w:rsidRPr="00660DC9">
        <w:rPr>
          <w:rFonts w:ascii="Times New Roman" w:hAnsi="Times New Roman" w:cs="Times New Roman"/>
          <w:sz w:val="20"/>
          <w:szCs w:val="20"/>
        </w:rPr>
        <w:t xml:space="preserve"> fórmula:</w:t>
      </w:r>
    </w:p>
    <w:p w14:paraId="5C2D7BEE" w14:textId="162B527E" w:rsidR="005C01D5" w:rsidRPr="00660DC9" w:rsidRDefault="00000000" w:rsidP="0013334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∑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∑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F98C4C5" w14:textId="2E860706" w:rsidR="00660DC9" w:rsidRPr="00660DC9" w:rsidRDefault="007B7C6A" w:rsidP="007B7C6A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Investigant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més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fons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podem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veure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que per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molt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que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sigui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logarítmica la forma de 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majoria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de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gràfics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, no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sempre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és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logarítmic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de 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mateixa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manera, en 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següent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taula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s'utilitza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el valor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mitjà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de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660DC9">
        <w:rPr>
          <w:rFonts w:ascii="Times New Roman" w:eastAsiaTheme="minorEastAsia" w:hAnsi="Times New Roman" w:cs="Times New Roman"/>
          <w:sz w:val="20"/>
          <w:szCs w:val="20"/>
          <w:lang w:val="ca-ES"/>
        </w:rPr>
        <w:t> </w:t>
      </w:r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en una determinada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configuració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relacionant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les dades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d'entrada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i les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possibles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mutacions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per les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quals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pot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estar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sotmès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intel·ligència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artificial</w:t>
      </w:r>
      <w:r w:rsidR="00CF544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CF544E">
        <w:rPr>
          <w:rFonts w:ascii="Times New Roman" w:eastAsiaTheme="minorEastAsia" w:hAnsi="Times New Roman" w:cs="Times New Roman"/>
          <w:sz w:val="20"/>
          <w:szCs w:val="20"/>
        </w:rPr>
        <w:t>sense</w:t>
      </w:r>
      <w:proofErr w:type="spellEnd"/>
      <w:r w:rsidR="00CF544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CF544E">
        <w:rPr>
          <w:rFonts w:ascii="Times New Roman" w:eastAsiaTheme="minorEastAsia" w:hAnsi="Times New Roman" w:cs="Times New Roman"/>
          <w:sz w:val="20"/>
          <w:szCs w:val="20"/>
        </w:rPr>
        <w:t>tenir</w:t>
      </w:r>
      <w:proofErr w:type="spellEnd"/>
      <w:r w:rsidR="00CF544E">
        <w:rPr>
          <w:rFonts w:ascii="Times New Roman" w:eastAsiaTheme="minorEastAsia" w:hAnsi="Times New Roman" w:cs="Times New Roman"/>
          <w:sz w:val="20"/>
          <w:szCs w:val="20"/>
        </w:rPr>
        <w:t xml:space="preserve"> en </w:t>
      </w:r>
      <w:proofErr w:type="spellStart"/>
      <w:r w:rsidR="00CF544E">
        <w:rPr>
          <w:rFonts w:ascii="Times New Roman" w:eastAsiaTheme="minorEastAsia" w:hAnsi="Times New Roman" w:cs="Times New Roman"/>
          <w:sz w:val="20"/>
          <w:szCs w:val="20"/>
        </w:rPr>
        <w:t>compte</w:t>
      </w:r>
      <w:proofErr w:type="spellEnd"/>
      <w:r w:rsidR="00CF544E">
        <w:rPr>
          <w:rFonts w:ascii="Times New Roman" w:eastAsiaTheme="minorEastAsia" w:hAnsi="Times New Roman" w:cs="Times New Roman"/>
          <w:sz w:val="20"/>
          <w:szCs w:val="20"/>
        </w:rPr>
        <w:t xml:space="preserve"> la </w:t>
      </w:r>
      <w:proofErr w:type="spellStart"/>
      <w:r w:rsidR="00CF544E">
        <w:rPr>
          <w:rFonts w:ascii="Times New Roman" w:eastAsiaTheme="minorEastAsia" w:hAnsi="Times New Roman" w:cs="Times New Roman"/>
          <w:sz w:val="20"/>
          <w:szCs w:val="20"/>
        </w:rPr>
        <w:t>població</w:t>
      </w:r>
      <w:proofErr w:type="spellEnd"/>
      <w:r w:rsidR="001253A4">
        <w:rPr>
          <w:rFonts w:ascii="Times New Roman" w:eastAsiaTheme="minorEastAsia" w:hAnsi="Times New Roman" w:cs="Times New Roman"/>
          <w:sz w:val="20"/>
          <w:szCs w:val="20"/>
        </w:rPr>
        <w:t xml:space="preserve"> per </w:t>
      </w:r>
      <w:proofErr w:type="spellStart"/>
      <w:r w:rsidR="001253A4">
        <w:rPr>
          <w:rFonts w:ascii="Times New Roman" w:eastAsiaTheme="minorEastAsia" w:hAnsi="Times New Roman" w:cs="Times New Roman"/>
          <w:sz w:val="20"/>
          <w:szCs w:val="20"/>
        </w:rPr>
        <w:t>generació</w:t>
      </w:r>
      <w:proofErr w:type="spellEnd"/>
      <w:r w:rsidR="00431FC9" w:rsidRPr="004C6174">
        <w:rPr>
          <w:rFonts w:ascii="Times New Roman" w:hAnsi="Times New Roman" w:cs="Times New Roman"/>
          <w:sz w:val="20"/>
          <w:szCs w:val="20"/>
        </w:rPr>
        <w:t xml:space="preserve">, ja que es va </w:t>
      </w:r>
      <w:proofErr w:type="spellStart"/>
      <w:r w:rsidR="00431FC9" w:rsidRPr="004C6174">
        <w:rPr>
          <w:rFonts w:ascii="Times New Roman" w:hAnsi="Times New Roman" w:cs="Times New Roman"/>
          <w:sz w:val="20"/>
          <w:szCs w:val="20"/>
        </w:rPr>
        <w:t>comprovar</w:t>
      </w:r>
      <w:proofErr w:type="spellEnd"/>
      <w:r w:rsidR="00431FC9" w:rsidRPr="004C6174">
        <w:rPr>
          <w:rFonts w:ascii="Times New Roman" w:hAnsi="Times New Roman" w:cs="Times New Roman"/>
          <w:sz w:val="20"/>
          <w:szCs w:val="20"/>
        </w:rPr>
        <w:t xml:space="preserve"> que la </w:t>
      </w:r>
      <w:proofErr w:type="spellStart"/>
      <w:r w:rsidR="00431FC9" w:rsidRPr="004C6174">
        <w:rPr>
          <w:rFonts w:ascii="Times New Roman" w:hAnsi="Times New Roman" w:cs="Times New Roman"/>
          <w:sz w:val="20"/>
          <w:szCs w:val="20"/>
        </w:rPr>
        <w:t>població</w:t>
      </w:r>
      <w:proofErr w:type="spellEnd"/>
      <w:r w:rsidR="00431FC9" w:rsidRPr="004C6174">
        <w:rPr>
          <w:rFonts w:ascii="Times New Roman" w:hAnsi="Times New Roman" w:cs="Times New Roman"/>
          <w:sz w:val="20"/>
          <w:szCs w:val="20"/>
        </w:rPr>
        <w:t xml:space="preserve"> no </w:t>
      </w:r>
      <w:proofErr w:type="spellStart"/>
      <w:r w:rsidR="00431FC9" w:rsidRPr="004C6174">
        <w:rPr>
          <w:rFonts w:ascii="Times New Roman" w:hAnsi="Times New Roman" w:cs="Times New Roman"/>
          <w:sz w:val="20"/>
          <w:szCs w:val="20"/>
        </w:rPr>
        <w:t>modificava</w:t>
      </w:r>
      <w:proofErr w:type="spellEnd"/>
      <w:r w:rsidR="00431FC9" w:rsidRPr="004C6174">
        <w:rPr>
          <w:rFonts w:ascii="Times New Roman" w:hAnsi="Times New Roman" w:cs="Times New Roman"/>
          <w:sz w:val="20"/>
          <w:szCs w:val="20"/>
        </w:rPr>
        <w:t xml:space="preserve"> la forma del </w:t>
      </w:r>
      <w:proofErr w:type="spellStart"/>
      <w:r w:rsidR="00431FC9" w:rsidRPr="004C6174">
        <w:rPr>
          <w:rFonts w:ascii="Times New Roman" w:hAnsi="Times New Roman" w:cs="Times New Roman"/>
          <w:sz w:val="20"/>
          <w:szCs w:val="20"/>
        </w:rPr>
        <w:t>gràfic</w:t>
      </w:r>
      <w:proofErr w:type="spellEnd"/>
      <w:r w:rsidR="00431FC9"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1FC9" w:rsidRPr="004C6174">
        <w:rPr>
          <w:rFonts w:ascii="Times New Roman" w:hAnsi="Times New Roman" w:cs="Times New Roman"/>
          <w:sz w:val="20"/>
          <w:szCs w:val="20"/>
        </w:rPr>
        <w:t>notablement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>.</w:t>
      </w:r>
    </w:p>
    <w:tbl>
      <w:tblPr>
        <w:tblW w:w="8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701"/>
        <w:gridCol w:w="960"/>
        <w:gridCol w:w="960"/>
        <w:gridCol w:w="960"/>
        <w:gridCol w:w="1096"/>
        <w:gridCol w:w="993"/>
        <w:gridCol w:w="1134"/>
        <w:gridCol w:w="818"/>
      </w:tblGrid>
      <w:tr w:rsidR="00BC1321" w:rsidRPr="00BC1321" w14:paraId="6F36FA30" w14:textId="77777777" w:rsidTr="008B4A16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AFA90D9" w14:textId="77777777" w:rsidR="00BC1321" w:rsidRPr="00BC1321" w:rsidRDefault="00BC1321" w:rsidP="00BC1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B8EE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6E70" w14:textId="60EB667C" w:rsidR="00BC1321" w:rsidRPr="00BC1321" w:rsidRDefault="008B4A16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PYO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6859" w14:textId="22D33575" w:rsidR="00BC1321" w:rsidRPr="00BC1321" w:rsidRDefault="008B4A16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PYF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F7DF" w14:textId="33B5A94B" w:rsidR="00BC1321" w:rsidRPr="00BC1321" w:rsidRDefault="008B4A16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PYO</w:t>
            </w:r>
            <w:r w:rsidR="00BC1321"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PYF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022D" w14:textId="10F2025F" w:rsidR="00BC1321" w:rsidRPr="00BC1321" w:rsidRDefault="008B4A16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PYO</w:t>
            </w:r>
            <w:r w:rsidR="00BC1321"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PYF</w:t>
            </w:r>
            <w:r w:rsidR="00BC1321"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PXO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3BDB" w14:textId="35518192" w:rsidR="00BC1321" w:rsidRPr="00BC1321" w:rsidRDefault="008B4A16" w:rsidP="00BC1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PYO</w:t>
            </w:r>
            <w:r w:rsidR="00BC1321"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PYF</w:t>
            </w:r>
            <w:r w:rsidR="00BC1321"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</w:t>
            </w:r>
            <w:r w:rsidR="003F3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VYO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33A5" w14:textId="3AE7060E" w:rsidR="00BC1321" w:rsidRPr="00BC1321" w:rsidRDefault="008B4A16" w:rsidP="00BC1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PYO</w:t>
            </w:r>
            <w:r w:rsidR="00BC1321"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PYF</w:t>
            </w:r>
            <w:r w:rsidR="00BC1321"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PXO</w:t>
            </w:r>
            <w:r w:rsidR="00BC1321"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VYO</w:t>
            </w:r>
          </w:p>
        </w:tc>
        <w:tc>
          <w:tcPr>
            <w:tcW w:w="6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34125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INPUTS</w:t>
            </w:r>
          </w:p>
        </w:tc>
      </w:tr>
      <w:tr w:rsidR="00BC1321" w:rsidRPr="00BC1321" w14:paraId="2B2DD14D" w14:textId="77777777" w:rsidTr="008B4A16">
        <w:trPr>
          <w:trHeight w:val="29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8E3CC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-</w:t>
            </w:r>
          </w:p>
        </w:tc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5AB80"/>
            <w:noWrap/>
            <w:vAlign w:val="bottom"/>
            <w:hideMark/>
          </w:tcPr>
          <w:p w14:paraId="5AB7D35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0,535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B4332"/>
            <w:noWrap/>
            <w:vAlign w:val="bottom"/>
            <w:hideMark/>
          </w:tcPr>
          <w:p w14:paraId="593470D9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B4936"/>
            <w:noWrap/>
            <w:vAlign w:val="bottom"/>
            <w:hideMark/>
          </w:tcPr>
          <w:p w14:paraId="4BDA1B69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0,228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6C4A3"/>
            <w:noWrap/>
            <w:vAlign w:val="bottom"/>
            <w:hideMark/>
          </w:tcPr>
          <w:p w14:paraId="095A582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0,638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AE0CF"/>
            <w:noWrap/>
            <w:vAlign w:val="bottom"/>
            <w:hideMark/>
          </w:tcPr>
          <w:p w14:paraId="69F55F55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0,759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AE1D0"/>
            <w:noWrap/>
            <w:vAlign w:val="bottom"/>
            <w:hideMark/>
          </w:tcPr>
          <w:p w14:paraId="0557276F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0,764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5BD98"/>
            <w:noWrap/>
            <w:vAlign w:val="bottom"/>
            <w:hideMark/>
          </w:tcPr>
          <w:p w14:paraId="7B9081D8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0,608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4855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C1321" w:rsidRPr="00BC1321" w14:paraId="67E1D2B5" w14:textId="77777777" w:rsidTr="008B4A16">
        <w:trPr>
          <w:trHeight w:val="29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34A85" w14:textId="5D100072" w:rsidR="00BC1321" w:rsidRPr="00BC1321" w:rsidRDefault="008B4A16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MNE</w:t>
            </w:r>
          </w:p>
        </w:tc>
        <w:tc>
          <w:tcPr>
            <w:tcW w:w="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5A57B"/>
            <w:noWrap/>
            <w:vAlign w:val="bottom"/>
            <w:hideMark/>
          </w:tcPr>
          <w:p w14:paraId="3A0E9819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8C69"/>
            <w:noWrap/>
            <w:vAlign w:val="bottom"/>
            <w:hideMark/>
          </w:tcPr>
          <w:p w14:paraId="5CEDD15F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1F17"/>
            <w:noWrap/>
            <w:vAlign w:val="bottom"/>
            <w:hideMark/>
          </w:tcPr>
          <w:p w14:paraId="2A85FEA2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288"/>
            <w:noWrap/>
            <w:vAlign w:val="bottom"/>
            <w:hideMark/>
          </w:tcPr>
          <w:p w14:paraId="71864D83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9D3BC"/>
            <w:noWrap/>
            <w:vAlign w:val="bottom"/>
            <w:hideMark/>
          </w:tcPr>
          <w:p w14:paraId="4858916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CECE1"/>
            <w:noWrap/>
            <w:vAlign w:val="bottom"/>
            <w:hideMark/>
          </w:tcPr>
          <w:p w14:paraId="08CFDFB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0,812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78060"/>
            <w:noWrap/>
            <w:vAlign w:val="bottom"/>
            <w:hideMark/>
          </w:tcPr>
          <w:p w14:paraId="29C700AC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0,401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8400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C1321" w:rsidRPr="00BC1321" w14:paraId="2B55666C" w14:textId="77777777" w:rsidTr="008B4A16">
        <w:trPr>
          <w:trHeight w:val="29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D5A5F" w14:textId="7AEF3C51" w:rsidR="00BC1321" w:rsidRPr="00BC1321" w:rsidRDefault="008B4A16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ME</w:t>
            </w:r>
          </w:p>
        </w:tc>
        <w:tc>
          <w:tcPr>
            <w:tcW w:w="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5AB80"/>
            <w:noWrap/>
            <w:vAlign w:val="bottom"/>
            <w:hideMark/>
          </w:tcPr>
          <w:p w14:paraId="6160C893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2C21"/>
            <w:noWrap/>
            <w:vAlign w:val="bottom"/>
            <w:hideMark/>
          </w:tcPr>
          <w:p w14:paraId="58FB95FA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8463"/>
            <w:noWrap/>
            <w:vAlign w:val="bottom"/>
            <w:hideMark/>
          </w:tcPr>
          <w:p w14:paraId="46B58B36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CBAE"/>
            <w:noWrap/>
            <w:vAlign w:val="bottom"/>
            <w:hideMark/>
          </w:tcPr>
          <w:p w14:paraId="3DAA65F7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0,669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AE1D1"/>
            <w:noWrap/>
            <w:vAlign w:val="bottom"/>
            <w:hideMark/>
          </w:tcPr>
          <w:p w14:paraId="4D169C48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9D5BE"/>
            <w:noWrap/>
            <w:vAlign w:val="bottom"/>
            <w:hideMark/>
          </w:tcPr>
          <w:p w14:paraId="7776510B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5A078"/>
            <w:noWrap/>
            <w:vAlign w:val="bottom"/>
            <w:hideMark/>
          </w:tcPr>
          <w:p w14:paraId="110FF980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0,501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98F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C1321" w:rsidRPr="00BC1321" w14:paraId="764F1D4D" w14:textId="77777777" w:rsidTr="008B4A16">
        <w:trPr>
          <w:trHeight w:val="290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6FE0D" w14:textId="15B09CF6" w:rsidR="00BC1321" w:rsidRPr="00BC1321" w:rsidRDefault="008B4A16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MNE, ME</w:t>
            </w:r>
          </w:p>
        </w:tc>
        <w:tc>
          <w:tcPr>
            <w:tcW w:w="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5AA7F"/>
            <w:noWrap/>
            <w:vAlign w:val="bottom"/>
            <w:hideMark/>
          </w:tcPr>
          <w:p w14:paraId="6C8CF0C4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241B"/>
            <w:noWrap/>
            <w:vAlign w:val="bottom"/>
            <w:hideMark/>
          </w:tcPr>
          <w:p w14:paraId="75FD8A4F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654C"/>
            <w:noWrap/>
            <w:vAlign w:val="bottom"/>
            <w:hideMark/>
          </w:tcPr>
          <w:p w14:paraId="1AAFE353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E5D7"/>
            <w:noWrap/>
            <w:vAlign w:val="bottom"/>
            <w:hideMark/>
          </w:tcPr>
          <w:p w14:paraId="68B0ACE9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BE6D8"/>
            <w:noWrap/>
            <w:vAlign w:val="bottom"/>
            <w:hideMark/>
          </w:tcPr>
          <w:p w14:paraId="5CE6449A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7CCB0"/>
            <w:noWrap/>
            <w:vAlign w:val="bottom"/>
            <w:hideMark/>
          </w:tcPr>
          <w:p w14:paraId="08E2BF9C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0,673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5A37A"/>
            <w:noWrap/>
            <w:vAlign w:val="bottom"/>
            <w:hideMark/>
          </w:tcPr>
          <w:p w14:paraId="7DDD7A37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992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C1321" w:rsidRPr="00BC1321" w14:paraId="7ACB9265" w14:textId="77777777" w:rsidTr="008B4A16">
        <w:trPr>
          <w:trHeight w:val="290"/>
        </w:trPr>
        <w:tc>
          <w:tcPr>
            <w:tcW w:w="15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3F787" w14:textId="550362B0" w:rsidR="00BC1321" w:rsidRPr="00BC1321" w:rsidRDefault="008B4A16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MNE,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Crs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2DBC6E5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3226"/>
            <w:noWrap/>
            <w:vAlign w:val="bottom"/>
            <w:hideMark/>
          </w:tcPr>
          <w:p w14:paraId="4469F24B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80FC71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AC81"/>
            <w:noWrap/>
            <w:vAlign w:val="bottom"/>
            <w:hideMark/>
          </w:tcPr>
          <w:p w14:paraId="026159B0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ADDCA"/>
            <w:noWrap/>
            <w:vAlign w:val="bottom"/>
            <w:hideMark/>
          </w:tcPr>
          <w:p w14:paraId="6BBA7839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300E4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0,893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DFCD"/>
            <w:noWrap/>
            <w:vAlign w:val="bottom"/>
            <w:hideMark/>
          </w:tcPr>
          <w:p w14:paraId="67662808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0,755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A8D3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C1321" w:rsidRPr="00BC1321" w14:paraId="44E01B13" w14:textId="77777777" w:rsidTr="008B4A16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C3489" w14:textId="0EE13576" w:rsidR="00BC1321" w:rsidRPr="00BC1321" w:rsidRDefault="008B4A16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MNE, ME,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Crs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5AF83"/>
            <w:noWrap/>
            <w:vAlign w:val="bottom"/>
            <w:hideMark/>
          </w:tcPr>
          <w:p w14:paraId="453851BF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3527"/>
            <w:noWrap/>
            <w:vAlign w:val="bottom"/>
            <w:hideMark/>
          </w:tcPr>
          <w:p w14:paraId="1CA4EE78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4E3A"/>
            <w:noWrap/>
            <w:vAlign w:val="bottom"/>
            <w:hideMark/>
          </w:tcPr>
          <w:p w14:paraId="7E5D4283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5B891"/>
            <w:noWrap/>
            <w:vAlign w:val="bottom"/>
            <w:hideMark/>
          </w:tcPr>
          <w:p w14:paraId="5ACDA262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0,586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9DD"/>
            <w:noWrap/>
            <w:vAlign w:val="bottom"/>
            <w:hideMark/>
          </w:tcPr>
          <w:p w14:paraId="1DDB811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4D5"/>
            <w:noWrap/>
            <w:vAlign w:val="bottom"/>
            <w:hideMark/>
          </w:tcPr>
          <w:p w14:paraId="08F50483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D8C2"/>
            <w:noWrap/>
            <w:vAlign w:val="bottom"/>
            <w:hideMark/>
          </w:tcPr>
          <w:p w14:paraId="3ABADA4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0,724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851B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C1321" w:rsidRPr="00BC1321" w14:paraId="63B4E0D7" w14:textId="77777777" w:rsidTr="008B4A16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7B7F91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MUTACIONS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CB71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B239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1E6E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4731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E57C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B937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38E4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485D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p w14:paraId="18FE2795" w14:textId="0536A1E0" w:rsidR="00CF544E" w:rsidRPr="00144273" w:rsidRDefault="00CF544E" w:rsidP="007B7C6A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6A4F8E7C" w14:textId="77777777" w:rsidR="004C6174" w:rsidRDefault="004C6174" w:rsidP="007B7C6A">
      <w:pPr>
        <w:jc w:val="both"/>
        <w:rPr>
          <w:rFonts w:ascii="Times New Roman" w:hAnsi="Times New Roman" w:cs="Times New Roman"/>
          <w:sz w:val="20"/>
          <w:szCs w:val="20"/>
        </w:rPr>
      </w:pPr>
      <w:r w:rsidRPr="004C6174">
        <w:rPr>
          <w:rFonts w:ascii="Times New Roman" w:hAnsi="Times New Roman" w:cs="Times New Roman"/>
          <w:sz w:val="20"/>
          <w:szCs w:val="20"/>
        </w:rPr>
        <w:t xml:space="preserve">En la taula es fa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referència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a les entrades i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mutacions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de forma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numèrica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aquestes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són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les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corresponents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equivalències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653A7" w14:paraId="32E530F9" w14:textId="77777777" w:rsidTr="003653A7">
        <w:tc>
          <w:tcPr>
            <w:tcW w:w="4247" w:type="dxa"/>
          </w:tcPr>
          <w:p w14:paraId="304B376A" w14:textId="3D75290A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MUTACIONS</w:t>
            </w:r>
          </w:p>
        </w:tc>
        <w:tc>
          <w:tcPr>
            <w:tcW w:w="4247" w:type="dxa"/>
          </w:tcPr>
          <w:p w14:paraId="5099AF41" w14:textId="4CDF9E32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ENTRADES</w:t>
            </w:r>
          </w:p>
        </w:tc>
      </w:tr>
      <w:tr w:rsidR="003653A7" w14:paraId="6A5CF181" w14:textId="77777777" w:rsidTr="003653A7">
        <w:tc>
          <w:tcPr>
            <w:tcW w:w="4247" w:type="dxa"/>
          </w:tcPr>
          <w:p w14:paraId="36731B23" w14:textId="5651500D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8D4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S'inclouen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els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valor de totes les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possibles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configuracions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mutacions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403CE15" w14:textId="55F81D76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8B4A16" w:rsidRPr="008D4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No estructural</w:t>
            </w:r>
          </w:p>
          <w:p w14:paraId="1A1A901D" w14:textId="61C413C3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8B4A16" w:rsidRPr="008D4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Estructural</w:t>
            </w:r>
          </w:p>
          <w:p w14:paraId="1D948A90" w14:textId="52D40246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="008B4A16" w:rsidRPr="008D4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FE65B9" w:rsidRPr="00FE65B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Crossover</w:t>
            </w:r>
            <w:proofErr w:type="gramEnd"/>
          </w:p>
        </w:tc>
        <w:tc>
          <w:tcPr>
            <w:tcW w:w="4247" w:type="dxa"/>
          </w:tcPr>
          <w:p w14:paraId="4FA6A672" w14:textId="6D58DC77" w:rsidR="003653A7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8D4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S'inclouen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els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valor de totes les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possibles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configuracions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’entrades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74C41AC" w14:textId="66EADA0D" w:rsidR="003653A7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8B4A16" w:rsidRPr="008D4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E65B9">
              <w:rPr>
                <w:rFonts w:ascii="Times New Roman" w:hAnsi="Times New Roman" w:cs="Times New Roman"/>
                <w:sz w:val="20"/>
                <w:szCs w:val="20"/>
              </w:rPr>
              <w:t>Posició</w:t>
            </w:r>
            <w:proofErr w:type="spellEnd"/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Y de </w:t>
            </w:r>
            <w:proofErr w:type="spellStart"/>
            <w:r w:rsidR="00FE65B9">
              <w:rPr>
                <w:rFonts w:ascii="Times New Roman" w:hAnsi="Times New Roman" w:cs="Times New Roman"/>
                <w:sz w:val="20"/>
                <w:szCs w:val="20"/>
              </w:rPr>
              <w:t>l’ocell</w:t>
            </w:r>
            <w:proofErr w:type="spellEnd"/>
          </w:p>
          <w:p w14:paraId="538050A7" w14:textId="621A82D6" w:rsidR="003653A7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8B4A16" w:rsidRPr="008D4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E65B9">
              <w:rPr>
                <w:rFonts w:ascii="Times New Roman" w:hAnsi="Times New Roman" w:cs="Times New Roman"/>
                <w:sz w:val="20"/>
                <w:szCs w:val="20"/>
              </w:rPr>
              <w:t>Posició</w:t>
            </w:r>
            <w:proofErr w:type="spellEnd"/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Y de</w:t>
            </w:r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l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forat</w:t>
            </w:r>
            <w:proofErr w:type="spellEnd"/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del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obstacle</w:t>
            </w:r>
            <w:proofErr w:type="spellEnd"/>
          </w:p>
          <w:p w14:paraId="4DD60C29" w14:textId="534F509A" w:rsidR="00144273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8B4A16" w:rsidRPr="008D4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PXO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Posició</w:t>
            </w:r>
            <w:proofErr w:type="spellEnd"/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X de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l’obstacle</w:t>
            </w:r>
            <w:proofErr w:type="spellEnd"/>
          </w:p>
          <w:p w14:paraId="66948270" w14:textId="7AA673AD" w:rsidR="003653A7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8B4A16" w:rsidRPr="008D4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Velocitat</w:t>
            </w:r>
            <w:proofErr w:type="spellEnd"/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Y de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l’ocell</w:t>
            </w:r>
            <w:proofErr w:type="spellEnd"/>
          </w:p>
        </w:tc>
      </w:tr>
    </w:tbl>
    <w:p w14:paraId="20E8B5C5" w14:textId="2F214ED5" w:rsidR="004C6174" w:rsidRDefault="004C6174" w:rsidP="007B7C6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04C9B4" w14:textId="3615ED59" w:rsidR="003653A7" w:rsidRDefault="00CF544E" w:rsidP="003667F7">
      <w:pPr>
        <w:jc w:val="both"/>
        <w:rPr>
          <w:rFonts w:ascii="Times New Roman" w:hAnsi="Times New Roman" w:cs="Times New Roman"/>
          <w:sz w:val="20"/>
          <w:szCs w:val="20"/>
        </w:rPr>
      </w:pPr>
      <w:r w:rsidRPr="00CF544E">
        <w:rPr>
          <w:rFonts w:ascii="Times New Roman" w:hAnsi="Times New Roman" w:cs="Times New Roman"/>
          <w:sz w:val="20"/>
          <w:szCs w:val="20"/>
        </w:rPr>
        <w:t xml:space="preserve">A la taula 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pot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observar que les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gràfiques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menys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logarítmiques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són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les de les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columnes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53A4">
        <w:rPr>
          <w:rFonts w:ascii="Times New Roman" w:hAnsi="Times New Roman" w:cs="Times New Roman"/>
          <w:sz w:val="20"/>
          <w:szCs w:val="20"/>
        </w:rPr>
        <w:t>sense</w:t>
      </w:r>
      <w:proofErr w:type="spellEnd"/>
      <w:r w:rsidR="001253A4">
        <w:rPr>
          <w:rFonts w:ascii="Times New Roman" w:hAnsi="Times New Roman" w:cs="Times New Roman"/>
          <w:sz w:val="20"/>
          <w:szCs w:val="20"/>
        </w:rPr>
        <w:t xml:space="preserve"> les</w:t>
      </w:r>
      <w:r w:rsidRPr="00CF544E">
        <w:rPr>
          <w:rFonts w:ascii="Times New Roman" w:hAnsi="Times New Roman" w:cs="Times New Roman"/>
          <w:sz w:val="20"/>
          <w:szCs w:val="20"/>
        </w:rPr>
        <w:t xml:space="preserve"> entrades </w:t>
      </w:r>
      <w:r w:rsidR="008B4A16" w:rsidRPr="008D4D66">
        <w:rPr>
          <w:rFonts w:ascii="Times New Roman" w:hAnsi="Times New Roman" w:cs="Times New Roman"/>
          <w:b/>
          <w:bCs/>
          <w:sz w:val="20"/>
          <w:szCs w:val="20"/>
        </w:rPr>
        <w:t>PYO</w:t>
      </w:r>
      <w:r w:rsidRPr="00CF544E">
        <w:rPr>
          <w:rFonts w:ascii="Times New Roman" w:hAnsi="Times New Roman" w:cs="Times New Roman"/>
          <w:sz w:val="20"/>
          <w:szCs w:val="20"/>
        </w:rPr>
        <w:t xml:space="preserve"> o </w:t>
      </w:r>
      <w:r w:rsidR="008B4A16" w:rsidRPr="008D4D66">
        <w:rPr>
          <w:rFonts w:ascii="Times New Roman" w:hAnsi="Times New Roman" w:cs="Times New Roman"/>
          <w:b/>
          <w:bCs/>
          <w:sz w:val="20"/>
          <w:szCs w:val="20"/>
        </w:rPr>
        <w:t>PYF</w:t>
      </w:r>
      <w:r w:rsidRPr="00CF54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això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deu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fet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que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aquestes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entrades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són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imprescindibles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perquè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intel·ligència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artificial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pugui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aprendre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i per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això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en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aquestes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columnes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no 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produeix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cap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mena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d'aprenentatge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en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canvi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la columna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s'utilitzen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les entrades </w:t>
      </w:r>
      <w:r w:rsidR="008B4A16" w:rsidRPr="008D4D66">
        <w:rPr>
          <w:rFonts w:ascii="Times New Roman" w:hAnsi="Times New Roman" w:cs="Times New Roman"/>
          <w:b/>
          <w:bCs/>
          <w:sz w:val="20"/>
          <w:szCs w:val="20"/>
        </w:rPr>
        <w:t>PYO</w:t>
      </w:r>
      <w:r w:rsidRPr="00CF544E">
        <w:rPr>
          <w:rFonts w:ascii="Times New Roman" w:hAnsi="Times New Roman" w:cs="Times New Roman"/>
          <w:sz w:val="20"/>
          <w:szCs w:val="20"/>
        </w:rPr>
        <w:t>,</w:t>
      </w:r>
      <w:r w:rsidR="008B4A16">
        <w:rPr>
          <w:rFonts w:ascii="Times New Roman" w:hAnsi="Times New Roman" w:cs="Times New Roman"/>
          <w:sz w:val="20"/>
          <w:szCs w:val="20"/>
        </w:rPr>
        <w:t xml:space="preserve"> </w:t>
      </w:r>
      <w:r w:rsidR="008B4A16" w:rsidRPr="008D4D66">
        <w:rPr>
          <w:rFonts w:ascii="Times New Roman" w:hAnsi="Times New Roman" w:cs="Times New Roman"/>
          <w:b/>
          <w:bCs/>
          <w:sz w:val="20"/>
          <w:szCs w:val="20"/>
        </w:rPr>
        <w:t>PYF</w:t>
      </w:r>
      <w:r w:rsidRPr="00CF544E">
        <w:rPr>
          <w:rFonts w:ascii="Times New Roman" w:hAnsi="Times New Roman" w:cs="Times New Roman"/>
          <w:sz w:val="20"/>
          <w:szCs w:val="20"/>
        </w:rPr>
        <w:t>,</w:t>
      </w:r>
      <w:r w:rsidR="008B4A16">
        <w:rPr>
          <w:rFonts w:ascii="Times New Roman" w:hAnsi="Times New Roman" w:cs="Times New Roman"/>
          <w:sz w:val="20"/>
          <w:szCs w:val="20"/>
        </w:rPr>
        <w:t xml:space="preserve"> </w:t>
      </w:r>
      <w:r w:rsidR="008B4A16" w:rsidRPr="008D4D66">
        <w:rPr>
          <w:rFonts w:ascii="Times New Roman" w:hAnsi="Times New Roman" w:cs="Times New Roman"/>
          <w:b/>
          <w:bCs/>
          <w:sz w:val="20"/>
          <w:szCs w:val="20"/>
        </w:rPr>
        <w:t>VYO</w:t>
      </w:r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gràfic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té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forma logarítmica i per ser exactes la columna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s'utilitzen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les entrades </w:t>
      </w:r>
      <w:r w:rsidR="008D4D66" w:rsidRPr="008D4D66">
        <w:rPr>
          <w:rFonts w:ascii="Times New Roman" w:hAnsi="Times New Roman" w:cs="Times New Roman"/>
          <w:b/>
          <w:bCs/>
          <w:sz w:val="20"/>
          <w:szCs w:val="20"/>
        </w:rPr>
        <w:t>PYO</w:t>
      </w:r>
      <w:r w:rsidR="008D4D66" w:rsidRPr="00CF544E">
        <w:rPr>
          <w:rFonts w:ascii="Times New Roman" w:hAnsi="Times New Roman" w:cs="Times New Roman"/>
          <w:sz w:val="20"/>
          <w:szCs w:val="20"/>
        </w:rPr>
        <w:t>,</w:t>
      </w:r>
      <w:r w:rsidR="008D4D66">
        <w:rPr>
          <w:rFonts w:ascii="Times New Roman" w:hAnsi="Times New Roman" w:cs="Times New Roman"/>
          <w:sz w:val="20"/>
          <w:szCs w:val="20"/>
        </w:rPr>
        <w:t xml:space="preserve"> </w:t>
      </w:r>
      <w:r w:rsidR="008D4D66" w:rsidRPr="008D4D66">
        <w:rPr>
          <w:rFonts w:ascii="Times New Roman" w:hAnsi="Times New Roman" w:cs="Times New Roman"/>
          <w:b/>
          <w:bCs/>
          <w:sz w:val="20"/>
          <w:szCs w:val="20"/>
        </w:rPr>
        <w:t>PYF</w:t>
      </w:r>
      <w:r w:rsidR="008D4D66" w:rsidRPr="00CF544E">
        <w:rPr>
          <w:rFonts w:ascii="Times New Roman" w:hAnsi="Times New Roman" w:cs="Times New Roman"/>
          <w:sz w:val="20"/>
          <w:szCs w:val="20"/>
        </w:rPr>
        <w:t>,</w:t>
      </w:r>
      <w:r w:rsidR="008D4D66">
        <w:rPr>
          <w:rFonts w:ascii="Times New Roman" w:hAnsi="Times New Roman" w:cs="Times New Roman"/>
          <w:sz w:val="20"/>
          <w:szCs w:val="20"/>
        </w:rPr>
        <w:t xml:space="preserve"> </w:t>
      </w:r>
      <w:r w:rsidR="008D4D66" w:rsidRPr="008D4D66">
        <w:rPr>
          <w:rFonts w:ascii="Times New Roman" w:hAnsi="Times New Roman" w:cs="Times New Roman"/>
          <w:b/>
          <w:bCs/>
          <w:sz w:val="20"/>
          <w:szCs w:val="20"/>
        </w:rPr>
        <w:t>VYO</w:t>
      </w:r>
      <w:r w:rsidR="008D4D66" w:rsidRPr="00CF544E">
        <w:rPr>
          <w:rFonts w:ascii="Times New Roman" w:hAnsi="Times New Roman" w:cs="Times New Roman"/>
          <w:sz w:val="20"/>
          <w:szCs w:val="20"/>
        </w:rPr>
        <w:t xml:space="preserve"> </w:t>
      </w:r>
      <w:r w:rsidRPr="00CF544E">
        <w:rPr>
          <w:rFonts w:ascii="Times New Roman" w:hAnsi="Times New Roman" w:cs="Times New Roman"/>
          <w:sz w:val="20"/>
          <w:szCs w:val="20"/>
        </w:rPr>
        <w:t xml:space="preserve">i les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mutacions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r w:rsidR="008D4D66" w:rsidRPr="008D4D66">
        <w:rPr>
          <w:rFonts w:ascii="Times New Roman" w:hAnsi="Times New Roman" w:cs="Times New Roman"/>
          <w:b/>
          <w:bCs/>
          <w:sz w:val="20"/>
          <w:szCs w:val="20"/>
        </w:rPr>
        <w:t>MNE</w:t>
      </w:r>
      <w:r w:rsidRPr="00CF544E">
        <w:rPr>
          <w:rFonts w:ascii="Times New Roman" w:hAnsi="Times New Roman" w:cs="Times New Roman"/>
          <w:sz w:val="20"/>
          <w:szCs w:val="20"/>
        </w:rPr>
        <w:t>,</w:t>
      </w:r>
      <w:r w:rsidR="008D4D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D4D66" w:rsidRPr="008D4D66">
        <w:rPr>
          <w:rFonts w:ascii="Times New Roman" w:hAnsi="Times New Roman" w:cs="Times New Roman"/>
          <w:b/>
          <w:bCs/>
          <w:sz w:val="20"/>
          <w:szCs w:val="20"/>
        </w:rPr>
        <w:t>Crs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alt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per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tant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logarítmic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>.</w:t>
      </w:r>
    </w:p>
    <w:p w14:paraId="35ED1C98" w14:textId="596C1BAA" w:rsidR="00FF4762" w:rsidRDefault="007F2D2C" w:rsidP="003667F7">
      <w:pPr>
        <w:jc w:val="both"/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 xml:space="preserve">La </w:t>
      </w:r>
      <w:proofErr w:type="spellStart"/>
      <w:r>
        <w:rPr>
          <w:rFonts w:ascii="Times New Roman" w:hAnsi="Times New Roman" w:cs="Times New Roman"/>
          <w:sz w:val="20"/>
          <w:szCs w:val="20"/>
        </w:rPr>
        <w:t>mitjana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del </w:t>
      </w:r>
      <w:proofErr w:type="spellStart"/>
      <w:r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r^2 </w:t>
      </w:r>
      <w:proofErr w:type="spellStart"/>
      <w:r>
        <w:rPr>
          <w:rFonts w:ascii="Times New Roman" w:hAnsi="Times New Roman" w:cs="Times New Roman"/>
          <w:sz w:val="20"/>
          <w:szCs w:val="20"/>
        </w:rPr>
        <w:t>dels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 presenten un </w:t>
      </w:r>
      <w:proofErr w:type="spellStart"/>
      <w:r>
        <w:rPr>
          <w:rFonts w:ascii="Times New Roman" w:hAnsi="Times New Roman" w:cs="Times New Roman"/>
          <w:sz w:val="20"/>
          <w:szCs w:val="20"/>
        </w:rPr>
        <w:t>aprenentatge</w:t>
      </w:r>
      <w:proofErr w:type="spellEnd"/>
      <w:r w:rsidR="00B81F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81F76">
        <w:rPr>
          <w:rFonts w:ascii="Times New Roman" w:hAnsi="Times New Roman" w:cs="Times New Roman"/>
          <w:sz w:val="20"/>
          <w:szCs w:val="20"/>
        </w:rPr>
        <w:t>durant</w:t>
      </w:r>
      <w:proofErr w:type="spellEnd"/>
      <w:r w:rsidR="00B81F76">
        <w:rPr>
          <w:rFonts w:ascii="Times New Roman" w:hAnsi="Times New Roman" w:cs="Times New Roman"/>
          <w:sz w:val="20"/>
          <w:szCs w:val="20"/>
        </w:rPr>
        <w:t xml:space="preserve"> les 125 </w:t>
      </w:r>
      <w:proofErr w:type="spellStart"/>
      <w:r w:rsidR="00B81F76">
        <w:rPr>
          <w:rFonts w:ascii="Times New Roman" w:hAnsi="Times New Roman" w:cs="Times New Roman"/>
          <w:sz w:val="20"/>
          <w:szCs w:val="20"/>
        </w:rPr>
        <w:t>generacions</w:t>
      </w:r>
      <w:proofErr w:type="spellEnd"/>
      <w:r w:rsidR="00B81F7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es de 0,73, </w:t>
      </w:r>
      <w:proofErr w:type="spellStart"/>
      <w:r>
        <w:rPr>
          <w:rFonts w:ascii="Times New Roman" w:hAnsi="Times New Roman" w:cs="Times New Roman"/>
          <w:sz w:val="20"/>
          <w:szCs w:val="20"/>
        </w:rPr>
        <w:t>aquest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valor es </w:t>
      </w:r>
      <w:proofErr w:type="spellStart"/>
      <w:r>
        <w:rPr>
          <w:rFonts w:ascii="Times New Roman" w:hAnsi="Times New Roman" w:cs="Times New Roman"/>
          <w:sz w:val="20"/>
          <w:szCs w:val="20"/>
        </w:rPr>
        <w:t>indicatiu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d’un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aprenentatge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ràpid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logaritmic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pero a que es </w:t>
      </w:r>
      <w:proofErr w:type="spellStart"/>
      <w:r>
        <w:rPr>
          <w:rFonts w:ascii="Times New Roman" w:hAnsi="Times New Roman" w:cs="Times New Roman"/>
          <w:sz w:val="20"/>
          <w:szCs w:val="20"/>
        </w:rPr>
        <w:t>degut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aquest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comportament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logaritmic</w:t>
      </w:r>
      <w:proofErr w:type="spellEnd"/>
      <w:r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="00FF4762" w:rsidRPr="00FF4762">
        <w:t xml:space="preserve"> </w:t>
      </w:r>
    </w:p>
    <w:p w14:paraId="6EA58713" w14:textId="6E34AE76" w:rsidR="00A74132" w:rsidRPr="007F2D2C" w:rsidRDefault="00FF4762" w:rsidP="003667F7">
      <w:pPr>
        <w:jc w:val="both"/>
        <w:rPr>
          <w:rFonts w:ascii="Times New Roman" w:hAnsi="Times New Roman" w:cs="Times New Roman"/>
          <w:sz w:val="20"/>
          <w:szCs w:val="20"/>
        </w:rPr>
      </w:pPr>
      <w:r w:rsidRPr="007F2D2C">
        <w:rPr>
          <w:rFonts w:ascii="Times New Roman" w:hAnsi="Times New Roman" w:cs="Times New Roman"/>
          <w:sz w:val="20"/>
          <w:szCs w:val="20"/>
        </w:rPr>
        <w:t xml:space="preserve">En les primeres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generacions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, la IA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obté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guanys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significatius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en la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puntuació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de </w:t>
      </w:r>
      <w:r w:rsidR="00B81F76">
        <w:rPr>
          <w:rFonts w:ascii="Times New Roman" w:hAnsi="Times New Roman" w:cs="Times New Roman"/>
          <w:sz w:val="20"/>
          <w:szCs w:val="20"/>
        </w:rPr>
        <w:t>f</w:t>
      </w:r>
      <w:r w:rsidRPr="007F2D2C">
        <w:rPr>
          <w:rFonts w:ascii="Times New Roman" w:hAnsi="Times New Roman" w:cs="Times New Roman"/>
          <w:sz w:val="20"/>
          <w:szCs w:val="20"/>
        </w:rPr>
        <w:t xml:space="preserve">itness.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Això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es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deu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fet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que hi ha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molta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possibilitat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millora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, i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petits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canvis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en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l'estratègia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poden portar a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grans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augments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en el Fitness.</w:t>
      </w:r>
      <w:r w:rsidR="006807A5"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7A5" w:rsidRPr="007F2D2C">
        <w:rPr>
          <w:rFonts w:ascii="Times New Roman" w:hAnsi="Times New Roman" w:cs="Times New Roman"/>
          <w:sz w:val="20"/>
          <w:szCs w:val="20"/>
        </w:rPr>
        <w:t>D’igual</w:t>
      </w:r>
      <w:proofErr w:type="spellEnd"/>
      <w:r w:rsidR="006807A5" w:rsidRPr="007F2D2C">
        <w:rPr>
          <w:rFonts w:ascii="Times New Roman" w:hAnsi="Times New Roman" w:cs="Times New Roman"/>
          <w:sz w:val="20"/>
          <w:szCs w:val="20"/>
        </w:rPr>
        <w:t xml:space="preserve"> manera, a mesura que la </w:t>
      </w:r>
      <w:r w:rsidR="0091549C" w:rsidRPr="007F2D2C">
        <w:rPr>
          <w:rFonts w:ascii="Times New Roman" w:hAnsi="Times New Roman" w:cs="Times New Roman"/>
          <w:sz w:val="20"/>
          <w:szCs w:val="20"/>
        </w:rPr>
        <w:t>IA</w:t>
      </w:r>
      <w:r w:rsidR="006807A5"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07A5" w:rsidRPr="007F2D2C">
        <w:rPr>
          <w:rFonts w:ascii="Times New Roman" w:hAnsi="Times New Roman" w:cs="Times New Roman"/>
          <w:sz w:val="20"/>
          <w:szCs w:val="20"/>
        </w:rPr>
        <w:t>està</w:t>
      </w:r>
      <w:proofErr w:type="spellEnd"/>
      <w:r w:rsidR="006807A5" w:rsidRPr="007F2D2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6807A5" w:rsidRPr="007F2D2C">
        <w:rPr>
          <w:rFonts w:ascii="Times New Roman" w:hAnsi="Times New Roman" w:cs="Times New Roman"/>
          <w:sz w:val="20"/>
          <w:szCs w:val="20"/>
        </w:rPr>
        <w:t>generacions</w:t>
      </w:r>
      <w:proofErr w:type="spellEnd"/>
      <w:r w:rsidR="006807A5" w:rsidRPr="007F2D2C">
        <w:rPr>
          <w:rFonts w:ascii="Times New Roman" w:hAnsi="Times New Roman" w:cs="Times New Roman"/>
          <w:sz w:val="20"/>
          <w:szCs w:val="20"/>
        </w:rPr>
        <w:t xml:space="preserve"> mes </w:t>
      </w:r>
      <w:proofErr w:type="spellStart"/>
      <w:r w:rsidR="006807A5" w:rsidRPr="007F2D2C">
        <w:rPr>
          <w:rFonts w:ascii="Times New Roman" w:hAnsi="Times New Roman" w:cs="Times New Roman"/>
          <w:sz w:val="20"/>
          <w:szCs w:val="20"/>
        </w:rPr>
        <w:t>avan</w:t>
      </w:r>
      <w:r w:rsidR="00B81F76">
        <w:rPr>
          <w:rFonts w:ascii="Times New Roman" w:hAnsi="Times New Roman" w:cs="Times New Roman"/>
          <w:sz w:val="20"/>
          <w:szCs w:val="20"/>
        </w:rPr>
        <w:t>ç</w:t>
      </w:r>
      <w:r w:rsidR="006807A5" w:rsidRPr="007F2D2C">
        <w:rPr>
          <w:rFonts w:ascii="Times New Roman" w:hAnsi="Times New Roman" w:cs="Times New Roman"/>
          <w:sz w:val="20"/>
          <w:szCs w:val="20"/>
        </w:rPr>
        <w:t>ades</w:t>
      </w:r>
      <w:proofErr w:type="spellEnd"/>
      <w:r w:rsidR="00CC3171"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3171" w:rsidRPr="007F2D2C">
        <w:rPr>
          <w:rFonts w:ascii="Times New Roman" w:hAnsi="Times New Roman" w:cs="Times New Roman"/>
          <w:sz w:val="20"/>
          <w:szCs w:val="20"/>
        </w:rPr>
        <w:t>els</w:t>
      </w:r>
      <w:proofErr w:type="spellEnd"/>
      <w:r w:rsidR="00CC3171"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3171" w:rsidRPr="007F2D2C">
        <w:rPr>
          <w:rFonts w:ascii="Times New Roman" w:hAnsi="Times New Roman" w:cs="Times New Roman"/>
          <w:sz w:val="20"/>
          <w:szCs w:val="20"/>
        </w:rPr>
        <w:t>canvis</w:t>
      </w:r>
      <w:proofErr w:type="spellEnd"/>
      <w:r w:rsidR="00CC3171"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3171" w:rsidRPr="007F2D2C">
        <w:rPr>
          <w:rFonts w:ascii="Times New Roman" w:hAnsi="Times New Roman" w:cs="Times New Roman"/>
          <w:sz w:val="20"/>
          <w:szCs w:val="20"/>
        </w:rPr>
        <w:t>substancials</w:t>
      </w:r>
      <w:proofErr w:type="spellEnd"/>
      <w:r w:rsidR="00CC3171" w:rsidRPr="007F2D2C">
        <w:rPr>
          <w:rFonts w:ascii="Times New Roman" w:hAnsi="Times New Roman" w:cs="Times New Roman"/>
          <w:sz w:val="20"/>
          <w:szCs w:val="20"/>
        </w:rPr>
        <w:t xml:space="preserve"> que poden portar a una </w:t>
      </w:r>
      <w:proofErr w:type="spellStart"/>
      <w:r w:rsidR="00CC3171" w:rsidRPr="007F2D2C">
        <w:rPr>
          <w:rFonts w:ascii="Times New Roman" w:hAnsi="Times New Roman" w:cs="Times New Roman"/>
          <w:sz w:val="20"/>
          <w:szCs w:val="20"/>
        </w:rPr>
        <w:t>millora</w:t>
      </w:r>
      <w:proofErr w:type="spellEnd"/>
      <w:r w:rsidR="0091549C" w:rsidRPr="007F2D2C">
        <w:rPr>
          <w:rFonts w:ascii="Times New Roman" w:hAnsi="Times New Roman" w:cs="Times New Roman"/>
          <w:sz w:val="20"/>
          <w:szCs w:val="20"/>
        </w:rPr>
        <w:t xml:space="preserve"> en el Fitness </w:t>
      </w:r>
      <w:proofErr w:type="spellStart"/>
      <w:r w:rsidR="0091549C" w:rsidRPr="007F2D2C">
        <w:rPr>
          <w:rFonts w:ascii="Times New Roman" w:hAnsi="Times New Roman" w:cs="Times New Roman"/>
          <w:sz w:val="20"/>
          <w:szCs w:val="20"/>
        </w:rPr>
        <w:t>són</w:t>
      </w:r>
      <w:proofErr w:type="spellEnd"/>
      <w:r w:rsidR="0091549C"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549C" w:rsidRPr="007F2D2C">
        <w:rPr>
          <w:rFonts w:ascii="Times New Roman" w:hAnsi="Times New Roman" w:cs="Times New Roman"/>
          <w:sz w:val="20"/>
          <w:szCs w:val="20"/>
        </w:rPr>
        <w:t>canvis</w:t>
      </w:r>
      <w:proofErr w:type="spellEnd"/>
      <w:r w:rsidR="0091549C"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549C" w:rsidRPr="007F2D2C">
        <w:rPr>
          <w:rFonts w:ascii="Times New Roman" w:hAnsi="Times New Roman" w:cs="Times New Roman"/>
          <w:sz w:val="20"/>
          <w:szCs w:val="20"/>
        </w:rPr>
        <w:t>més</w:t>
      </w:r>
      <w:proofErr w:type="spellEnd"/>
      <w:r w:rsidR="0091549C"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549C" w:rsidRPr="007F2D2C">
        <w:rPr>
          <w:rFonts w:ascii="Times New Roman" w:hAnsi="Times New Roman" w:cs="Times New Roman"/>
          <w:sz w:val="20"/>
          <w:szCs w:val="20"/>
        </w:rPr>
        <w:t>súbtils</w:t>
      </w:r>
      <w:proofErr w:type="spellEnd"/>
      <w:r w:rsidR="00B81F76">
        <w:rPr>
          <w:rFonts w:ascii="Times New Roman" w:hAnsi="Times New Roman" w:cs="Times New Roman"/>
          <w:sz w:val="20"/>
          <w:szCs w:val="20"/>
        </w:rPr>
        <w:t xml:space="preserve"> i la </w:t>
      </w:r>
      <w:proofErr w:type="spellStart"/>
      <w:r w:rsidR="00B81F76">
        <w:rPr>
          <w:rFonts w:ascii="Times New Roman" w:hAnsi="Times New Roman" w:cs="Times New Roman"/>
          <w:sz w:val="20"/>
          <w:szCs w:val="20"/>
        </w:rPr>
        <w:t>seva</w:t>
      </w:r>
      <w:proofErr w:type="spellEnd"/>
      <w:r w:rsidR="00B81F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F76">
        <w:rPr>
          <w:rFonts w:ascii="Times New Roman" w:hAnsi="Times New Roman" w:cs="Times New Roman"/>
          <w:sz w:val="20"/>
          <w:szCs w:val="20"/>
        </w:rPr>
        <w:t>millora</w:t>
      </w:r>
      <w:proofErr w:type="spellEnd"/>
      <w:r w:rsidR="00B81F76">
        <w:rPr>
          <w:rFonts w:ascii="Times New Roman" w:hAnsi="Times New Roman" w:cs="Times New Roman"/>
          <w:sz w:val="20"/>
          <w:szCs w:val="20"/>
        </w:rPr>
        <w:t xml:space="preserve"> respecta el fitness també </w:t>
      </w:r>
      <w:proofErr w:type="spellStart"/>
      <w:r w:rsidR="00B81F76">
        <w:rPr>
          <w:rFonts w:ascii="Times New Roman" w:hAnsi="Times New Roman" w:cs="Times New Roman"/>
          <w:sz w:val="20"/>
          <w:szCs w:val="20"/>
        </w:rPr>
        <w:t>és</w:t>
      </w:r>
      <w:proofErr w:type="spellEnd"/>
      <w:r w:rsidR="00B81F76">
        <w:rPr>
          <w:rFonts w:ascii="Times New Roman" w:hAnsi="Times New Roman" w:cs="Times New Roman"/>
          <w:sz w:val="20"/>
          <w:szCs w:val="20"/>
        </w:rPr>
        <w:t xml:space="preserve"> menor</w:t>
      </w:r>
      <w:r w:rsidR="00871A8A" w:rsidRPr="007F2D2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71A8A" w:rsidRPr="007F2D2C">
        <w:rPr>
          <w:rFonts w:ascii="Times New Roman" w:hAnsi="Times New Roman" w:cs="Times New Roman"/>
          <w:sz w:val="20"/>
          <w:szCs w:val="20"/>
        </w:rPr>
        <w:t>Un’altre</w:t>
      </w:r>
      <w:proofErr w:type="spellEnd"/>
      <w:r w:rsidR="00871A8A"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1A8A" w:rsidRPr="007F2D2C">
        <w:rPr>
          <w:rFonts w:ascii="Times New Roman" w:hAnsi="Times New Roman" w:cs="Times New Roman"/>
          <w:sz w:val="20"/>
          <w:szCs w:val="20"/>
        </w:rPr>
        <w:t>motiu</w:t>
      </w:r>
      <w:proofErr w:type="spellEnd"/>
      <w:r w:rsidR="00871A8A" w:rsidRPr="007F2D2C">
        <w:rPr>
          <w:rFonts w:ascii="Times New Roman" w:hAnsi="Times New Roman" w:cs="Times New Roman"/>
          <w:sz w:val="20"/>
          <w:szCs w:val="20"/>
        </w:rPr>
        <w:t xml:space="preserve"> que colabora a la forma </w:t>
      </w:r>
      <w:proofErr w:type="spellStart"/>
      <w:r w:rsidR="00871A8A" w:rsidRPr="007F2D2C">
        <w:rPr>
          <w:rFonts w:ascii="Times New Roman" w:hAnsi="Times New Roman" w:cs="Times New Roman"/>
          <w:sz w:val="20"/>
          <w:szCs w:val="20"/>
        </w:rPr>
        <w:t>logaritmica</w:t>
      </w:r>
      <w:proofErr w:type="spellEnd"/>
      <w:r w:rsidR="00871A8A" w:rsidRPr="007F2D2C">
        <w:rPr>
          <w:rFonts w:ascii="Times New Roman" w:hAnsi="Times New Roman" w:cs="Times New Roman"/>
          <w:sz w:val="20"/>
          <w:szCs w:val="20"/>
        </w:rPr>
        <w:t xml:space="preserve"> es la </w:t>
      </w:r>
      <w:proofErr w:type="spellStart"/>
      <w:r w:rsidR="00871A8A" w:rsidRPr="007F2D2C">
        <w:rPr>
          <w:rFonts w:ascii="Times New Roman" w:hAnsi="Times New Roman" w:cs="Times New Roman"/>
          <w:sz w:val="20"/>
          <w:szCs w:val="20"/>
        </w:rPr>
        <w:t>mecanica</w:t>
      </w:r>
      <w:proofErr w:type="spellEnd"/>
      <w:r w:rsidR="00871A8A" w:rsidRPr="007F2D2C">
        <w:rPr>
          <w:rFonts w:ascii="Times New Roman" w:hAnsi="Times New Roman" w:cs="Times New Roman"/>
          <w:sz w:val="20"/>
          <w:szCs w:val="20"/>
        </w:rPr>
        <w:t xml:space="preserve"> del </w:t>
      </w:r>
      <w:proofErr w:type="spellStart"/>
      <w:r w:rsidR="00871A8A" w:rsidRPr="007F2D2C">
        <w:rPr>
          <w:rFonts w:ascii="Times New Roman" w:hAnsi="Times New Roman" w:cs="Times New Roman"/>
          <w:sz w:val="20"/>
          <w:szCs w:val="20"/>
        </w:rPr>
        <w:t>joc</w:t>
      </w:r>
      <w:proofErr w:type="spellEnd"/>
      <w:r w:rsidR="00871A8A" w:rsidRPr="007F2D2C">
        <w:rPr>
          <w:rFonts w:ascii="Times New Roman" w:hAnsi="Times New Roman" w:cs="Times New Roman"/>
          <w:sz w:val="20"/>
          <w:szCs w:val="20"/>
        </w:rPr>
        <w:t xml:space="preserve">, la </w:t>
      </w:r>
      <w:proofErr w:type="spellStart"/>
      <w:r w:rsidR="00871A8A" w:rsidRPr="007F2D2C">
        <w:rPr>
          <w:rFonts w:ascii="Times New Roman" w:hAnsi="Times New Roman" w:cs="Times New Roman"/>
          <w:sz w:val="20"/>
          <w:szCs w:val="20"/>
        </w:rPr>
        <w:t>mecanica</w:t>
      </w:r>
      <w:proofErr w:type="spellEnd"/>
      <w:r w:rsidR="00871A8A" w:rsidRPr="007F2D2C">
        <w:rPr>
          <w:rFonts w:ascii="Times New Roman" w:hAnsi="Times New Roman" w:cs="Times New Roman"/>
          <w:sz w:val="20"/>
          <w:szCs w:val="20"/>
        </w:rPr>
        <w:t xml:space="preserve"> del </w:t>
      </w:r>
      <w:proofErr w:type="spellStart"/>
      <w:r w:rsidR="00871A8A" w:rsidRPr="007F2D2C">
        <w:rPr>
          <w:rFonts w:ascii="Times New Roman" w:hAnsi="Times New Roman" w:cs="Times New Roman"/>
          <w:sz w:val="20"/>
          <w:szCs w:val="20"/>
        </w:rPr>
        <w:t>joc</w:t>
      </w:r>
      <w:proofErr w:type="spellEnd"/>
      <w:r w:rsidR="00871A8A" w:rsidRPr="007F2D2C">
        <w:rPr>
          <w:rFonts w:ascii="Times New Roman" w:hAnsi="Times New Roman" w:cs="Times New Roman"/>
          <w:sz w:val="20"/>
          <w:szCs w:val="20"/>
        </w:rPr>
        <w:t xml:space="preserve"> del </w:t>
      </w:r>
      <w:proofErr w:type="spellStart"/>
      <w:r w:rsidR="00871A8A" w:rsidRPr="007F2D2C">
        <w:rPr>
          <w:rFonts w:ascii="Times New Roman" w:hAnsi="Times New Roman" w:cs="Times New Roman"/>
          <w:sz w:val="20"/>
          <w:szCs w:val="20"/>
        </w:rPr>
        <w:t>flappy</w:t>
      </w:r>
      <w:proofErr w:type="spellEnd"/>
      <w:r w:rsidR="00871A8A"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1A8A" w:rsidRPr="007F2D2C">
        <w:rPr>
          <w:rFonts w:ascii="Times New Roman" w:hAnsi="Times New Roman" w:cs="Times New Roman"/>
          <w:sz w:val="20"/>
          <w:szCs w:val="20"/>
        </w:rPr>
        <w:t>bird</w:t>
      </w:r>
      <w:proofErr w:type="spellEnd"/>
      <w:r w:rsidR="00871A8A" w:rsidRPr="007F2D2C">
        <w:rPr>
          <w:rFonts w:ascii="Times New Roman" w:hAnsi="Times New Roman" w:cs="Times New Roman"/>
          <w:sz w:val="20"/>
          <w:szCs w:val="20"/>
        </w:rPr>
        <w:t xml:space="preserve"> porta a una </w:t>
      </w:r>
      <w:proofErr w:type="spellStart"/>
      <w:r w:rsidR="00871A8A" w:rsidRPr="007F2D2C">
        <w:rPr>
          <w:rFonts w:ascii="Times New Roman" w:hAnsi="Times New Roman" w:cs="Times New Roman"/>
          <w:sz w:val="20"/>
          <w:szCs w:val="20"/>
        </w:rPr>
        <w:t>dificultat</w:t>
      </w:r>
      <w:proofErr w:type="spellEnd"/>
      <w:r w:rsidR="00871A8A" w:rsidRPr="007F2D2C">
        <w:rPr>
          <w:rFonts w:ascii="Times New Roman" w:hAnsi="Times New Roman" w:cs="Times New Roman"/>
          <w:sz w:val="20"/>
          <w:szCs w:val="20"/>
        </w:rPr>
        <w:t xml:space="preserve"> finita de manera que hi </w:t>
      </w:r>
      <w:proofErr w:type="spellStart"/>
      <w:r w:rsidR="00871A8A" w:rsidRPr="007F2D2C">
        <w:rPr>
          <w:rFonts w:ascii="Times New Roman" w:hAnsi="Times New Roman" w:cs="Times New Roman"/>
          <w:sz w:val="20"/>
          <w:szCs w:val="20"/>
        </w:rPr>
        <w:t>ha</w:t>
      </w:r>
      <w:proofErr w:type="spellEnd"/>
      <w:r w:rsidR="00871A8A" w:rsidRPr="007F2D2C">
        <w:rPr>
          <w:rFonts w:ascii="Times New Roman" w:hAnsi="Times New Roman" w:cs="Times New Roman"/>
          <w:sz w:val="20"/>
          <w:szCs w:val="20"/>
        </w:rPr>
        <w:t xml:space="preserve"> un “</w:t>
      </w:r>
      <w:proofErr w:type="spellStart"/>
      <w:r w:rsidR="00871A8A" w:rsidRPr="007F2D2C">
        <w:rPr>
          <w:rFonts w:ascii="Times New Roman" w:hAnsi="Times New Roman" w:cs="Times New Roman"/>
          <w:sz w:val="20"/>
          <w:szCs w:val="20"/>
        </w:rPr>
        <w:t>límit</w:t>
      </w:r>
      <w:proofErr w:type="spellEnd"/>
      <w:r w:rsidR="00871A8A" w:rsidRPr="007F2D2C">
        <w:rPr>
          <w:rFonts w:ascii="Times New Roman" w:hAnsi="Times New Roman" w:cs="Times New Roman"/>
          <w:sz w:val="20"/>
          <w:szCs w:val="20"/>
        </w:rPr>
        <w:t xml:space="preserve">” a </w:t>
      </w:r>
      <w:proofErr w:type="spellStart"/>
      <w:r w:rsidR="00871A8A" w:rsidRPr="007F2D2C">
        <w:rPr>
          <w:rFonts w:ascii="Times New Roman" w:hAnsi="Times New Roman" w:cs="Times New Roman"/>
          <w:sz w:val="20"/>
          <w:szCs w:val="20"/>
        </w:rPr>
        <w:t>l’aprenentatge</w:t>
      </w:r>
      <w:proofErr w:type="spellEnd"/>
      <w:r w:rsidR="00871A8A"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1A8A" w:rsidRPr="007F2D2C">
        <w:rPr>
          <w:rFonts w:ascii="Times New Roman" w:hAnsi="Times New Roman" w:cs="Times New Roman"/>
          <w:sz w:val="20"/>
          <w:szCs w:val="20"/>
        </w:rPr>
        <w:t>ón</w:t>
      </w:r>
      <w:proofErr w:type="spellEnd"/>
      <w:r w:rsidR="00871A8A" w:rsidRPr="007F2D2C">
        <w:rPr>
          <w:rFonts w:ascii="Times New Roman" w:hAnsi="Times New Roman" w:cs="Times New Roman"/>
          <w:sz w:val="20"/>
          <w:szCs w:val="20"/>
        </w:rPr>
        <w:t xml:space="preserve"> ja </w:t>
      </w:r>
      <w:proofErr w:type="spellStart"/>
      <w:r w:rsidR="00871A8A" w:rsidRPr="007F2D2C">
        <w:rPr>
          <w:rFonts w:ascii="Times New Roman" w:hAnsi="Times New Roman" w:cs="Times New Roman"/>
          <w:sz w:val="20"/>
          <w:szCs w:val="20"/>
        </w:rPr>
        <w:t>haurà</w:t>
      </w:r>
      <w:proofErr w:type="spellEnd"/>
      <w:r w:rsidR="00871A8A"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1A8A" w:rsidRPr="007F2D2C">
        <w:rPr>
          <w:rFonts w:ascii="Times New Roman" w:hAnsi="Times New Roman" w:cs="Times New Roman"/>
          <w:sz w:val="20"/>
          <w:szCs w:val="20"/>
        </w:rPr>
        <w:t>après</w:t>
      </w:r>
      <w:proofErr w:type="spellEnd"/>
      <w:r w:rsidR="00871A8A" w:rsidRPr="007F2D2C">
        <w:rPr>
          <w:rFonts w:ascii="Times New Roman" w:hAnsi="Times New Roman" w:cs="Times New Roman"/>
          <w:sz w:val="20"/>
          <w:szCs w:val="20"/>
        </w:rPr>
        <w:t xml:space="preserve"> a tractar la </w:t>
      </w:r>
      <w:proofErr w:type="spellStart"/>
      <w:r w:rsidR="00871A8A" w:rsidRPr="007F2D2C">
        <w:rPr>
          <w:rFonts w:ascii="Times New Roman" w:hAnsi="Times New Roman" w:cs="Times New Roman"/>
          <w:sz w:val="20"/>
          <w:szCs w:val="20"/>
        </w:rPr>
        <w:t>informació</w:t>
      </w:r>
      <w:proofErr w:type="spellEnd"/>
      <w:r w:rsidR="00871A8A" w:rsidRPr="007F2D2C">
        <w:rPr>
          <w:rFonts w:ascii="Times New Roman" w:hAnsi="Times New Roman" w:cs="Times New Roman"/>
          <w:sz w:val="20"/>
          <w:szCs w:val="20"/>
        </w:rPr>
        <w:t xml:space="preserve"> de manera 100% correcta.</w:t>
      </w:r>
    </w:p>
    <w:p w14:paraId="42D6E9FE" w14:textId="0B3F4693" w:rsidR="007F2D2C" w:rsidRDefault="007F2D2C" w:rsidP="007F2D2C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F2D2C">
        <w:rPr>
          <w:rFonts w:ascii="Times New Roman" w:hAnsi="Times New Roman" w:cs="Times New Roman"/>
          <w:sz w:val="20"/>
          <w:szCs w:val="20"/>
        </w:rPr>
        <w:t>L'anàlisi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d'aquesta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tendència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logarítmica a priori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pot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semblar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poc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útil,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però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té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bastants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aplicacions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. Per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començar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permet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predir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els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ràpids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guanys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inicials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de fitness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seguits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d'un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altiplà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; de manera que es revela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és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millor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moment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per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detenir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l'entrenament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afegir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nous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reptes en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l'entrenament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per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uns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millors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2D2C">
        <w:rPr>
          <w:rFonts w:ascii="Times New Roman" w:hAnsi="Times New Roman" w:cs="Times New Roman"/>
          <w:sz w:val="20"/>
          <w:szCs w:val="20"/>
        </w:rPr>
        <w:t>resultat</w:t>
      </w:r>
      <w:r w:rsidR="00B81F76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7F2D2C">
        <w:rPr>
          <w:rFonts w:ascii="Times New Roman" w:hAnsi="Times New Roman" w:cs="Times New Roman"/>
          <w:sz w:val="20"/>
          <w:szCs w:val="20"/>
        </w:rPr>
        <w:t>.</w:t>
      </w:r>
    </w:p>
    <w:bookmarkEnd w:id="0"/>
    <w:p w14:paraId="673F68CE" w14:textId="77777777" w:rsidR="007F2D2C" w:rsidRPr="007F2D2C" w:rsidRDefault="007F2D2C" w:rsidP="007F2D2C">
      <w:pPr>
        <w:jc w:val="both"/>
        <w:rPr>
          <w:rFonts w:ascii="Times New Roman" w:hAnsi="Times New Roman" w:cs="Times New Roman"/>
          <w:sz w:val="20"/>
          <w:szCs w:val="20"/>
          <w:lang w:val="ca-ES"/>
        </w:rPr>
      </w:pPr>
    </w:p>
    <w:p w14:paraId="1035883B" w14:textId="77777777" w:rsidR="007F2D2C" w:rsidRPr="007F2D2C" w:rsidRDefault="007F2D2C" w:rsidP="003667F7">
      <w:pPr>
        <w:jc w:val="both"/>
        <w:rPr>
          <w:rFonts w:ascii="Times New Roman" w:hAnsi="Times New Roman" w:cs="Times New Roman"/>
          <w:sz w:val="20"/>
          <w:szCs w:val="20"/>
          <w:lang w:val="ca-ES"/>
        </w:rPr>
      </w:pPr>
    </w:p>
    <w:sectPr w:rsidR="007F2D2C" w:rsidRPr="007F2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6C"/>
    <w:rsid w:val="000031F7"/>
    <w:rsid w:val="0000379E"/>
    <w:rsid w:val="00020618"/>
    <w:rsid w:val="000C19DC"/>
    <w:rsid w:val="001253A4"/>
    <w:rsid w:val="00133347"/>
    <w:rsid w:val="00144273"/>
    <w:rsid w:val="00287C97"/>
    <w:rsid w:val="002A15EA"/>
    <w:rsid w:val="0035491D"/>
    <w:rsid w:val="003653A7"/>
    <w:rsid w:val="003667F7"/>
    <w:rsid w:val="00380744"/>
    <w:rsid w:val="003F36CE"/>
    <w:rsid w:val="00431FC9"/>
    <w:rsid w:val="00435C0F"/>
    <w:rsid w:val="004C6174"/>
    <w:rsid w:val="00555211"/>
    <w:rsid w:val="005C01D5"/>
    <w:rsid w:val="00606B15"/>
    <w:rsid w:val="0060766F"/>
    <w:rsid w:val="00660DC9"/>
    <w:rsid w:val="006807A5"/>
    <w:rsid w:val="006847A7"/>
    <w:rsid w:val="00705B6C"/>
    <w:rsid w:val="007B7C6A"/>
    <w:rsid w:val="007F2D2C"/>
    <w:rsid w:val="00871A8A"/>
    <w:rsid w:val="00884E1E"/>
    <w:rsid w:val="008B4A16"/>
    <w:rsid w:val="008D4D66"/>
    <w:rsid w:val="00902FFE"/>
    <w:rsid w:val="0091549C"/>
    <w:rsid w:val="00A74132"/>
    <w:rsid w:val="00B81F76"/>
    <w:rsid w:val="00BC1321"/>
    <w:rsid w:val="00BF4C05"/>
    <w:rsid w:val="00C273F8"/>
    <w:rsid w:val="00C30EF5"/>
    <w:rsid w:val="00C73FE6"/>
    <w:rsid w:val="00CC3171"/>
    <w:rsid w:val="00CF544E"/>
    <w:rsid w:val="00E84248"/>
    <w:rsid w:val="00F37EF1"/>
    <w:rsid w:val="00F955B6"/>
    <w:rsid w:val="00FC4702"/>
    <w:rsid w:val="00FE65B9"/>
    <w:rsid w:val="00FF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BB1D"/>
  <w15:chartTrackingRefBased/>
  <w15:docId w15:val="{484AC593-D171-4F89-AD8F-6DC6F0A4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3A7"/>
  </w:style>
  <w:style w:type="paragraph" w:styleId="Ttol1">
    <w:name w:val="heading 1"/>
    <w:basedOn w:val="Normal"/>
    <w:next w:val="Normal"/>
    <w:link w:val="Ttol1Car"/>
    <w:uiPriority w:val="9"/>
    <w:qFormat/>
    <w:rsid w:val="00705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705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705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705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705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705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705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705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705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705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705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705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705B6C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705B6C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705B6C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705B6C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705B6C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705B6C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705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705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705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705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5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705B6C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705B6C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705B6C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705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705B6C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705B6C"/>
    <w:rPr>
      <w:b/>
      <w:bCs/>
      <w:smallCaps/>
      <w:color w:val="0F4761" w:themeColor="accent1" w:themeShade="BF"/>
      <w:spacing w:val="5"/>
    </w:rPr>
  </w:style>
  <w:style w:type="character" w:styleId="Textdelcontenidor">
    <w:name w:val="Placeholder Text"/>
    <w:basedOn w:val="Lletraperdefectedelpargraf"/>
    <w:uiPriority w:val="99"/>
    <w:semiHidden/>
    <w:rsid w:val="005C01D5"/>
    <w:rPr>
      <w:color w:val="666666"/>
    </w:rPr>
  </w:style>
  <w:style w:type="table" w:styleId="Taulaambquadrcula">
    <w:name w:val="Table Grid"/>
    <w:basedOn w:val="Taulanormal"/>
    <w:uiPriority w:val="39"/>
    <w:rsid w:val="0036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Clerici Jurado</dc:creator>
  <cp:keywords/>
  <dc:description/>
  <cp:lastModifiedBy>Marc Perez Fusco</cp:lastModifiedBy>
  <cp:revision>16</cp:revision>
  <dcterms:created xsi:type="dcterms:W3CDTF">2024-09-11T23:15:00Z</dcterms:created>
  <dcterms:modified xsi:type="dcterms:W3CDTF">2024-09-24T14:13:00Z</dcterms:modified>
</cp:coreProperties>
</file>