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6764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26"/>
                <w:szCs w:val="26"/>
              </w:rPr>
              <w:t xml:space="preserve">WARTUNGSVERTRAG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SERVICE AGREEMENT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AUFTRAGNEHMER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VERTRAGSDATEN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Vertragsnr.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{contract_number}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{contract_date}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Vertragsbeginn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{contract_start}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AUFTRAGGEBER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PRÄAMBEL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Zwischen Ferrion IT Systemhaus GmbH (Auftragnehmer) und {customer_company} (Auftraggeber) wird der nachstehende Wartungs- und Servicevertrag geschlossen. Er regelt Betrieb, Wartung und Support der beim Auftraggeber eingesetzten Infrastruktur.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1)  LEISTUNGSUMFANG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Auftragnehmer erbringt die folgenden wiederkehrenden Leistungen: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{service_description}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Proaktives Monitoring und Alerting rund um die Uhr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Wartung, Updates und Patch-Management in definierten Wartungsfenstern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Störungsbehebung und Support gemäß den vereinbarten Service-Levels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Verwaltung von Herstellerverträgen, Renewals und Lizenzen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2)  SERVICE-LEVEL (SLA)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4419"/>
        <w:gridCol w:w="3319"/>
      </w:tblGrid>
      <w:tr>
        <w:trPr>
          <w:tblHeader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PRIORITÄT</w:t>
            </w:r>
          </w:p>
        </w:tc>
        <w:tc>
          <w:tcPr>
            <w:tcW w:type="dxa" w:w="44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BESCHREIBUNG</w:t>
            </w:r>
          </w:p>
        </w:tc>
        <w:tc>
          <w:tcPr>
            <w:tcW w:type="dxa" w:w="3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REAKTIONSZEIT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Kritisch</w:t>
            </w:r>
          </w:p>
        </w:tc>
        <w:tc>
          <w:tcPr>
            <w:tcW w:type="dxa" w:w="44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Totalausfall / Sicherheitsvorfall</w:t>
            </w:r>
          </w:p>
        </w:tc>
        <w:tc>
          <w:tcPr>
            <w:tcW w:type="dxa" w:w="33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{sla_critical}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Hoch</w:t>
            </w:r>
          </w:p>
        </w:tc>
        <w:tc>
          <w:tcPr>
            <w:tcW w:type="dxa" w:w="44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Wesentliche Beeinträchtigung</w:t>
            </w:r>
          </w:p>
        </w:tc>
        <w:tc>
          <w:tcPr>
            <w:tcW w:type="dxa" w:w="33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{sla_high}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Mittel</w:t>
            </w:r>
          </w:p>
        </w:tc>
        <w:tc>
          <w:tcPr>
            <w:tcW w:type="dxa" w:w="44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Eingeschränkte Funktion</w:t>
            </w:r>
          </w:p>
        </w:tc>
        <w:tc>
          <w:tcPr>
            <w:tcW w:type="dxa" w:w="33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{sla_medium}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Niedrig</w:t>
            </w:r>
          </w:p>
        </w:tc>
        <w:tc>
          <w:tcPr>
            <w:tcW w:type="dxa" w:w="44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Anfrage / Change Request</w:t>
            </w:r>
          </w:p>
        </w:tc>
        <w:tc>
          <w:tcPr>
            <w:tcW w:type="dxa" w:w="33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{sla_low}</w:t>
            </w:r>
          </w:p>
        </w:tc>
      </w:tr>
    </w:tbl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Servicezeiten: {service_hours} · Zielverfügbarkeit: {availability}. Die Reaktionszeit bezeichnet die Zeit bis zur qualifizierten Bearbeitung nach Eingang der Störungsmeldung.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3)  VERGÜTUNG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Die Vergütung beträgt {monthly_fee} {currency} pro Monat, netto zuzüglich der gesetzlichen USt. Die Verrechnung erfolgt {billing_cycle}. Nicht im Pauschalumfang enthaltene Leistungen werden nach Aufwand verrechnet.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4)  LAUFZEIT &amp; KÜNDIGUNG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Vertrag beginnt am {contract_start} und wird auf {contract_term} abgeschlossen. Er verlängert sich automatisch um jeweils zwölf Monate, sofern er nicht mit einer Frist von {notice_period} zum jeweiligen Laufzeitende schriftlich gekündigt wird.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5)  MITWIRKUNG DES AUFTRAGGEBERS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Auftraggeber stellt die zur Leistungserbringung erforderlichen Zugänge, Informationen und Ansprechpartner zeitgerecht bereit und meldet Störungen über die vereinbarten Kanäle.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6)  HAFTUNG &amp; GEWÄHRLEISTUNG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Auftragnehmer haftet nur für Vorsatz und grobe Fahrlässigkeit; die Haftung ist der Höhe nach auf die Jahresvergütung begrenzt. Für Datenverlust wird nur gehaftet, sofern der Auftraggeber eine dem Stand der Technik entsprechende Datensicherung sichergestellt hat.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7)  DATENSCHUTZ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Die Verarbeitung personenbezogener Daten erfolgt nach der DSGVO auf Grundlage einer gesonderten Auftragsverarbeitungsvereinbarung gemäß Art 28 DSGVO.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8)  SCHLUSSBESTIMMUNGEN &amp; GERICHTSSTAND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Änderungen und Ergänzungen bedürfen der Schriftform. Es gilt österreichisches Recht unter Ausschluss des UN-Kaufrechts; ausschließlicher Gerichtsstand ist das sachlich zuständige Gericht in Wien. Sollten einzelne Bestimmungen unwirksam sein, bleibt der übrige Vertrag wirksam.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0"/>
              <w:right w:type="dxa" w:w="200"/>
            </w:tcMar>
          </w:tcPr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Ort, Datum</w:t>
            </w:r>
          </w:p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Auftraggeber — {customer_company}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0"/>
              <w:right w:type="dxa" w:w="200"/>
            </w:tcMar>
          </w:tcPr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Ort, Datum</w:t>
            </w:r>
          </w:p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Ferrion IT Systemhaus GmbH (Auftragnehmer)</w:t>
            </w:r>
          </w:p>
        </w:tc>
      </w:tr>
    </w:tbl>
    <w:p>
      <w:pPr>
        <w:spacing w:after="100" w:before="36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Wir freuen uns auf die partnerschaftliche Zusammenarbeit.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982330aba7f493f145f1545c4b4c6eeaa7bb70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Wartungsvertrag</dc:title>
  <dc:creator>Ferrion IT Systemhaus</dc:creator>
  <cp:lastModifiedBy>Un-named</cp:lastModifiedBy>
  <cp:revision>1</cp:revision>
  <dcterms:created xsi:type="dcterms:W3CDTF">2026-07-05T08:11:32.535Z</dcterms:created>
  <dcterms:modified xsi:type="dcterms:W3CDTF">2026-07-05T08:11:32.535Z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