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  <w:vAlign w:val="center"/>
          </w:tcPr>
          <w:p>
            <w:r>
              <w:drawing>
                <wp:inline distT="0" distB="0" distL="0" distR="0">
                  <wp:extent cx="16764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6B7280"/>
                <w:spacing w:val="30"/>
                <w:sz w:val="12"/>
                <w:szCs w:val="12"/>
              </w:rPr>
              <w:t xml:space="preserve">IT SYSTEMHAUS · SERVICES · MANAGED SERVICES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11827"/>
                <w:spacing w:val="24"/>
                <w:sz w:val="26"/>
                <w:szCs w:val="26"/>
              </w:rPr>
              <w:t xml:space="preserve">WARTUNGSVERTRAG</w:t>
            </w:r>
          </w:p>
          <w:p>
            <w:pPr>
              <w:spacing w:before="20"/>
              <w:jc w:val="right"/>
            </w:pPr>
            <w:r>
              <w:rPr>
                <w:rFonts w:ascii="Arial" w:cs="Arial" w:eastAsia="Arial" w:hAnsi="Arial"/>
                <w:color w:val="C9A84C"/>
                <w:spacing w:val="60"/>
                <w:sz w:val="14"/>
                <w:szCs w:val="14"/>
              </w:rPr>
              <w:t xml:space="preserve">SERVICE AGREEMENT</w:t>
            </w:r>
          </w:p>
        </w:tc>
      </w:tr>
    </w:tbl>
    <w:p>
      <w:pPr>
        <w:pBdr>
          <w:bottom w:val="single" w:color="C9A84C" w:sz="12" w:space="1"/>
        </w:pBdr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AUFTRAGNEHMER</w:t>
            </w:r>
          </w:p>
          <w:p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Ferrion IT Systemhaus GmbH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{issuer_street}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{issuer_zip_city}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Österreich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info@ferrion.at · ferrion.at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UID: {issuer_uid}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VERTRAGSDATEN</w:t>
            </w:r>
          </w:p>
          <w:tbl>
            <w:tblPr>
              <w:tblW w:type="dxa" w:w="4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2738"/>
            </w:tblGrid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Vertragsnr.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{contract_number}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{contract_date}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Vertragsbeginn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{contract_start}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Kundennr.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{customer_number}</w:t>
                  </w:r>
                </w:p>
              </w:tc>
            </w:tr>
          </w:tbl>
          <w:p/>
        </w:tc>
      </w:tr>
    </w:tbl>
    <w:p>
      <w:pPr>
        <w:spacing w:after="80" w:before="360"/>
      </w:pPr>
      <w:r>
        <w:rPr>
          <w:rFonts w:ascii="Arial" w:cs="Arial" w:eastAsia="Arial" w:hAnsi="Arial"/>
          <w:b/>
          <w:bCs/>
          <w:color w:val="6B7280"/>
          <w:spacing w:val="20"/>
          <w:sz w:val="15"/>
          <w:szCs w:val="15"/>
        </w:rPr>
        <w:t xml:space="preserve">AUFTRAGGEBER</w:t>
      </w:r>
    </w:p>
    <w:p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{customer_company}</w:t>
      </w:r>
    </w:p>
    <w:p>
      <w:pPr>
        <w:spacing w:before="20"/>
      </w:pPr>
      <w:r>
        <w:rPr>
          <w:rFonts w:ascii="Arial" w:cs="Arial" w:eastAsia="Arial" w:hAnsi="Arial"/>
          <w:color w:val="111827"/>
          <w:sz w:val="17"/>
          <w:szCs w:val="17"/>
        </w:rPr>
        <w:t xml:space="preserve">z. Hd. {customer_name}</w:t>
      </w:r>
    </w:p>
    <w:p>
      <w:r>
        <w:rPr>
          <w:rFonts w:ascii="Arial" w:cs="Arial" w:eastAsia="Arial" w:hAnsi="Arial"/>
          <w:color w:val="111827"/>
          <w:sz w:val="17"/>
          <w:szCs w:val="17"/>
        </w:rPr>
        <w:t xml:space="preserve">{customer_address}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7"/>
          <w:szCs w:val="17"/>
        </w:rPr>
        <w:t xml:space="preserve">{customer_email}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5"/>
          <w:szCs w:val="15"/>
        </w:rPr>
        <w:t xml:space="preserve">UID: {customer_uid}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PRÄAMBEL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Zwischen Ferrion IT Systemhaus GmbH (Auftragnehmer) und {customer_company} (Auftraggeber) wird der nachstehende Wartungs- und Servicevertrag geschlossen. Er regelt Betrieb, Wartung und Support der beim Auftraggeber eingesetzten Infrastruktur.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1)  LEISTUNGSUMFANG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Der Auftragnehmer erbringt die folgenden wiederkehrenden Leistungen: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{service_description}</w:t>
      </w:r>
    </w:p>
    <w:p>
      <w:pPr>
        <w:spacing w:after="30"/>
        <w:ind w:left="220"/>
      </w:pPr>
      <w:r>
        <w:rPr>
          <w:rFonts w:ascii="Arial" w:cs="Arial" w:eastAsia="Arial" w:hAnsi="Arial"/>
          <w:color w:val="C9A84C"/>
          <w:sz w:val="16"/>
          <w:szCs w:val="16"/>
        </w:rPr>
        <w:t xml:space="preserve">▸  </w:t>
      </w:r>
      <w:r>
        <w:rPr>
          <w:rFonts w:ascii="Arial" w:cs="Arial" w:eastAsia="Arial" w:hAnsi="Arial"/>
          <w:color w:val="374151"/>
          <w:sz w:val="16"/>
          <w:szCs w:val="16"/>
        </w:rPr>
        <w:t xml:space="preserve">Proaktives Monitoring und Alerting rund um die Uhr</w:t>
      </w:r>
    </w:p>
    <w:p>
      <w:pPr>
        <w:spacing w:after="30"/>
        <w:ind w:left="220"/>
      </w:pPr>
      <w:r>
        <w:rPr>
          <w:rFonts w:ascii="Arial" w:cs="Arial" w:eastAsia="Arial" w:hAnsi="Arial"/>
          <w:color w:val="C9A84C"/>
          <w:sz w:val="16"/>
          <w:szCs w:val="16"/>
        </w:rPr>
        <w:t xml:space="preserve">▸  </w:t>
      </w:r>
      <w:r>
        <w:rPr>
          <w:rFonts w:ascii="Arial" w:cs="Arial" w:eastAsia="Arial" w:hAnsi="Arial"/>
          <w:color w:val="374151"/>
          <w:sz w:val="16"/>
          <w:szCs w:val="16"/>
        </w:rPr>
        <w:t xml:space="preserve">Wartung, Updates und Patch-Management in definierten Wartungsfenstern</w:t>
      </w:r>
    </w:p>
    <w:p>
      <w:pPr>
        <w:spacing w:after="30"/>
        <w:ind w:left="220"/>
      </w:pPr>
      <w:r>
        <w:rPr>
          <w:rFonts w:ascii="Arial" w:cs="Arial" w:eastAsia="Arial" w:hAnsi="Arial"/>
          <w:color w:val="C9A84C"/>
          <w:sz w:val="16"/>
          <w:szCs w:val="16"/>
        </w:rPr>
        <w:t xml:space="preserve">▸  </w:t>
      </w:r>
      <w:r>
        <w:rPr>
          <w:rFonts w:ascii="Arial" w:cs="Arial" w:eastAsia="Arial" w:hAnsi="Arial"/>
          <w:color w:val="374151"/>
          <w:sz w:val="16"/>
          <w:szCs w:val="16"/>
        </w:rPr>
        <w:t xml:space="preserve">Störungsbehebung und Support gemäß den vereinbarten Service-Levels</w:t>
      </w:r>
    </w:p>
    <w:p>
      <w:pPr>
        <w:spacing w:after="30"/>
        <w:ind w:left="220"/>
      </w:pPr>
      <w:r>
        <w:rPr>
          <w:rFonts w:ascii="Arial" w:cs="Arial" w:eastAsia="Arial" w:hAnsi="Arial"/>
          <w:color w:val="C9A84C"/>
          <w:sz w:val="16"/>
          <w:szCs w:val="16"/>
        </w:rPr>
        <w:t xml:space="preserve">▸  </w:t>
      </w:r>
      <w:r>
        <w:rPr>
          <w:rFonts w:ascii="Arial" w:cs="Arial" w:eastAsia="Arial" w:hAnsi="Arial"/>
          <w:color w:val="374151"/>
          <w:sz w:val="16"/>
          <w:szCs w:val="16"/>
        </w:rPr>
        <w:t xml:space="preserve">Verwaltung von Herstellerverträgen, Renewals und Lizenzen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2)  SERVICE-LEVEL (SLA)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4419"/>
        <w:gridCol w:w="3319"/>
      </w:tblGrid>
      <w:tr>
        <w:trPr>
          <w:tblHeader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PRIORITÄT</w:t>
            </w:r>
          </w:p>
        </w:tc>
        <w:tc>
          <w:tcPr>
            <w:tcW w:type="dxa" w:w="44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BESCHREIBUNG</w:t>
            </w:r>
          </w:p>
        </w:tc>
        <w:tc>
          <w:tcPr>
            <w:tcW w:type="dxa" w:w="33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REAKTIONSZEIT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Kritisch</w:t>
            </w:r>
          </w:p>
        </w:tc>
        <w:tc>
          <w:tcPr>
            <w:tcW w:type="dxa" w:w="4419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Totalausfall / Sicherheitsvorfall</w:t>
            </w:r>
          </w:p>
        </w:tc>
        <w:tc>
          <w:tcPr>
            <w:tcW w:type="dxa" w:w="3319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{sla_critical}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Hoch</w:t>
            </w:r>
          </w:p>
        </w:tc>
        <w:tc>
          <w:tcPr>
            <w:tcW w:type="dxa" w:w="4419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Wesentliche Beeinträchtigung</w:t>
            </w:r>
          </w:p>
        </w:tc>
        <w:tc>
          <w:tcPr>
            <w:tcW w:type="dxa" w:w="3319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{sla_high}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Mittel</w:t>
            </w:r>
          </w:p>
        </w:tc>
        <w:tc>
          <w:tcPr>
            <w:tcW w:type="dxa" w:w="4419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Eingeschränkte Funktion</w:t>
            </w:r>
          </w:p>
        </w:tc>
        <w:tc>
          <w:tcPr>
            <w:tcW w:type="dxa" w:w="3319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{sla_medium}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Niedrig</w:t>
            </w:r>
          </w:p>
        </w:tc>
        <w:tc>
          <w:tcPr>
            <w:tcW w:type="dxa" w:w="4419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Anfrage / Change Request</w:t>
            </w:r>
          </w:p>
        </w:tc>
        <w:tc>
          <w:tcPr>
            <w:tcW w:type="dxa" w:w="3319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{sla_low}</w:t>
            </w:r>
          </w:p>
        </w:tc>
      </w:tr>
    </w:tbl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Servicezeiten: {service_hours} · Zielverfügbarkeit: {availability}. Die Reaktionszeit bezeichnet die Zeit bis zur qualifizierten Bearbeitung nach Eingang der Störungsmeldung.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3)  VERGÜTUNG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Die Vergütung beträgt {monthly_fee} {currency} pro Monat, netto zuzüglich der gesetzlichen USt. Die Verrechnung erfolgt {billing_cycle}. Nicht im Pauschalumfang enthaltene Leistungen werden nach Aufwand verrechnet.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4)  LAUFZEIT &amp; KÜNDIGUNG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Der Vertrag beginnt am {contract_start} und wird auf {contract_term} abgeschlossen. Er verlängert sich automatisch um jeweils zwölf Monate, sofern er nicht mit einer Frist von {notice_period} zum jeweiligen Laufzeitende schriftlich gekündigt wird.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5)  MITWIRKUNG DES AUFTRAGGEBERS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Der Auftraggeber stellt die zur Leistungserbringung erforderlichen Zugänge, Informationen und Ansprechpartner zeitgerecht bereit und meldet Störungen über die vereinbarten Kanäle.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6)  HAFTUNG &amp; GEWÄHRLEISTUNG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Der Auftragnehmer haftet nur für Vorsatz und grobe Fahrlässigkeit; die Haftung ist der Höhe nach auf die Jahresvergütung begrenzt. Für Datenverlust wird nur gehaftet, sofern der Auftraggeber eine dem Stand der Technik entsprechende Datensicherung sichergestellt hat.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7)  DATENSCHUTZ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Die Verarbeitung personenbezogener Daten erfolgt nach der DSGVO auf Grundlage einer gesonderten Auftragsverarbeitungsvereinbarung gemäß Art 28 DSGVO.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8)  SCHLUSSBESTIMMUNGEN &amp; GERICHTSSTAND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Änderungen und Ergänzungen bedürfen der Schriftform. Es gilt österreichisches Recht unter Ausschluss des UN-Kaufrechts; ausschließlicher Gerichtsstand ist das sachlich zuständige Gericht in Wien. Sollten einzelne Bestimmungen unwirksam sein, bleibt der übrige Vertrag wirksam.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0"/>
              <w:bottom w:type="dxa" w:w="0"/>
              <w:right w:type="dxa" w:w="200"/>
            </w:tcMar>
          </w:tcPr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Ort, Datum</w:t>
            </w:r>
          </w:p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Auftraggeber — {customer_company}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0"/>
              <w:bottom w:type="dxa" w:w="0"/>
              <w:right w:type="dxa" w:w="200"/>
            </w:tcMar>
          </w:tcPr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Ort, Datum</w:t>
            </w:r>
          </w:p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Ferrion IT Systemhaus GmbH (Auftragnehmer)</w:t>
            </w:r>
          </w:p>
        </w:tc>
      </w:tr>
    </w:tbl>
    <w:p>
      <w:pPr>
        <w:spacing w:after="100" w:before="360"/>
        <w:jc w:val="center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Wir freuen uns auf die partnerschaftliche Zusammenarbeit.</w:t>
      </w:r>
    </w:p>
    <w:p>
      <w:pPr>
        <w:spacing w:before="40"/>
        <w:jc w:val="center"/>
      </w:pPr>
      <w:r>
        <w:rPr>
          <w:rFonts w:ascii="Arial" w:cs="Arial" w:eastAsia="Arial" w:hAnsi="Arial"/>
          <w:i/>
          <w:iCs/>
          <w:color w:val="9CA3AF"/>
          <w:sz w:val="12"/>
          <w:szCs w:val="12"/>
        </w:rPr>
        <w:t xml:space="preserve">Platzhalter in { } werden beim Erzeugen automatisch aus den Portal-Daten befüllt.</w:t>
      </w:r>
    </w:p>
    <w:sectPr>
      <w:footerReference w:type="default" r:id="rId7"/>
      <w:pgSz w:w="11906" w:h="16838" w:orient="portrait"/>
      <w:pgMar w:top="1134" w:right="1134" w:bottom="1440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8" w:space="8"/>
      </w:pBdr>
      <w:spacing w:after="20" w:before="40"/>
      <w:jc w:val="center"/>
    </w:pPr>
    <w:r>
      <w:rPr>
        <w:rFonts w:ascii="Arial" w:cs="Arial" w:eastAsia="Arial" w:hAnsi="Arial"/>
        <w:b/>
        <w:bCs/>
        <w:color w:val="111827"/>
        <w:sz w:val="13"/>
        <w:szCs w:val="13"/>
      </w:rPr>
      <w:t xml:space="preserve">Ferrion IT Systemhaus GmbH</w:t>
    </w:r>
  </w:p>
  <w:p>
    <w:pPr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{issuer_street}, {issuer_zip_city}, Österreich · info@ferrion.at · ferrion.at</w:t>
    </w:r>
  </w:p>
  <w:p>
    <w:pPr>
      <w:spacing w:before="10"/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Firmenbuch: {issuer_firmenbuch} · {issuer_court} · UID: {issuer_uid} · IBAN: {issuer_iban}</w:t>
    </w:r>
  </w:p>
  <w:p>
    <w:pPr>
      <w:spacing w:before="20"/>
      <w:jc w:val="center"/>
    </w:pPr>
    <w:r>
      <w:rPr>
        <w:rFonts w:ascii="Arial" w:cs="Arial" w:eastAsia="Arial" w:hAnsi="Arial"/>
        <w:color w:val="C9A84C"/>
        <w:spacing w:val="40"/>
        <w:sz w:val="11"/>
        <w:szCs w:val="11"/>
      </w:rPr>
      <w:t xml:space="preserve">build to endure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982330aba7f493f145f1545c4b4c6eeaa7bb70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Wartungsvertrag</dc:title>
  <dc:creator>Ferrion IT Systemhaus</dc:creator>
  <cp:lastModifiedBy>Un-named</cp:lastModifiedBy>
  <cp:revision>1</cp:revision>
  <dcterms:created xsi:type="dcterms:W3CDTF">2026-07-06T09:34:16.769Z</dcterms:created>
  <dcterms:modified xsi:type="dcterms:W3CDTF">2026-07-06T09:34:16.769Z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