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yumreac3pcpn" w:id="0"/>
      <w:bookmarkEnd w:id="0"/>
      <w:r w:rsidDel="00000000" w:rsidR="00000000" w:rsidRPr="00000000">
        <w:rPr>
          <w:rFonts w:ascii="Times New Roman" w:cs="Times New Roman" w:eastAsia="Times New Roman" w:hAnsi="Times New Roman"/>
          <w:b w:val="1"/>
          <w:bCs w:val="1"/>
          <w:i w:val="0"/>
          <w:iCs w:val="0"/>
          <w:smallCaps w:val="0"/>
          <w:strike w:val="0"/>
          <w:color w:val="000000"/>
          <w:sz w:val="34"/>
          <w:szCs w:val="34"/>
          <w:u w:val="none"/>
          <w:shd w:fill="auto" w:val="clear"/>
          <w:vertAlign w:val="baseline"/>
          <w:rtl w:val="0"/>
        </w:rPr>
        <w:t xml:space="preserve">0.1. Credo Sum</w:t>
      </w:r>
      <w:r w:rsidDel="00000000" w:rsidR="00000000" w:rsidRPr="00000000">
        <w:rPr>
          <w:rtl w:val="0"/>
        </w:rPr>
      </w:r>
    </w:p>
    <w:p w:rsidR="00000000" w:rsidDel="00000000" w:rsidP="00000000" w:rsidRDefault="00000000" w:rsidRPr="00000000" w14:paraId="00000002">
      <w:pPr>
        <w:pStyle w:val="Title"/>
        <w:keepNext w:val="0"/>
        <w:keepLines w:val="0"/>
        <w:jc w:val="both"/>
        <w:rPr>
          <w:sz w:val="48"/>
          <w:szCs w:val="48"/>
          <w:u w:val="single"/>
        </w:rPr>
      </w:pPr>
      <w:bookmarkStart w:colFirst="0" w:colLast="0" w:name="_pyfvpvha8d38" w:id="1"/>
      <w:bookmarkEnd w:id="1"/>
      <w:r w:rsidDel="00000000" w:rsidR="00000000" w:rsidRPr="00000000">
        <w:rPr>
          <w:sz w:val="48"/>
          <w:szCs w:val="48"/>
          <w:u w:val="single"/>
          <w:rtl w:val="0"/>
        </w:rPr>
        <w:t xml:space="preserve">0.1 Credo Sum</w:t>
      </w:r>
    </w:p>
    <w:p w:rsidR="00000000" w:rsidDel="00000000" w:rsidP="00000000" w:rsidRDefault="00000000" w:rsidRPr="00000000" w14:paraId="00000003">
      <w:pPr>
        <w:pStyle w:val="Heading1"/>
        <w:keepNext w:val="0"/>
        <w:keepLines w:val="0"/>
        <w:rPr/>
      </w:pPr>
      <w:bookmarkStart w:colFirst="0" w:colLast="0" w:name="_2zfv6d88u132" w:id="2"/>
      <w:bookmarkEnd w:id="2"/>
      <w:r w:rsidDel="00000000" w:rsidR="00000000" w:rsidRPr="00000000">
        <w:rPr>
          <w:rtl w:val="0"/>
        </w:rPr>
        <w:t xml:space="preserve">0.1.1. Définition générale</w:t>
      </w:r>
    </w:p>
    <w:p w:rsidR="00000000" w:rsidDel="00000000" w:rsidP="00000000" w:rsidRDefault="00000000" w:rsidRPr="00000000" w14:paraId="00000004">
      <w:pPr>
        <w:jc w:val="both"/>
        <w:rPr/>
      </w:pPr>
      <w:r w:rsidDel="00000000" w:rsidR="00000000" w:rsidRPr="00000000">
        <w:rPr>
          <w:rtl w:val="0"/>
        </w:rPr>
        <w:t xml:space="preserve">Le Credo Sum (CS), est l’énergie générée par la </w:t>
      </w:r>
      <w:hyperlink r:id="rId6">
        <w:r w:rsidDel="00000000" w:rsidR="00000000" w:rsidRPr="00000000">
          <w:rPr>
            <w:color w:val="1155cc"/>
            <w:u w:val="single"/>
            <w:rtl w:val="0"/>
          </w:rPr>
          <w:t xml:space="preserve">Conscience</w:t>
        </w:r>
      </w:hyperlink>
      <w:r w:rsidDel="00000000" w:rsidR="00000000" w:rsidRPr="00000000">
        <w:rPr>
          <w:rtl w:val="0"/>
        </w:rPr>
        <w:t xml:space="preserve"> humaine. Il naît de la conscientisation par un humain d’une </w:t>
      </w:r>
      <w:hyperlink r:id="rId7">
        <w:r w:rsidDel="00000000" w:rsidR="00000000" w:rsidRPr="00000000">
          <w:rPr>
            <w:color w:val="1155cc"/>
            <w:u w:val="single"/>
            <w:rtl w:val="0"/>
          </w:rPr>
          <w:t xml:space="preserve">Volonté</w:t>
        </w:r>
      </w:hyperlink>
      <w:r w:rsidDel="00000000" w:rsidR="00000000" w:rsidRPr="00000000">
        <w:rPr>
          <w:rtl w:val="0"/>
        </w:rPr>
        <w:t xml:space="preserve"> ou  d’une </w:t>
      </w:r>
      <w:hyperlink r:id="rId8">
        <w:r w:rsidDel="00000000" w:rsidR="00000000" w:rsidRPr="00000000">
          <w:rPr>
            <w:color w:val="1155cc"/>
            <w:u w:val="single"/>
            <w:rtl w:val="0"/>
          </w:rPr>
          <w:t xml:space="preserve">Croyance</w:t>
        </w:r>
      </w:hyperlink>
      <w:r w:rsidDel="00000000" w:rsidR="00000000" w:rsidRPr="00000000">
        <w:rPr>
          <w:rtl w:val="0"/>
        </w:rPr>
        <w:t xml:space="preserve"> en une </w:t>
      </w:r>
      <w:hyperlink r:id="rId9">
        <w:r w:rsidDel="00000000" w:rsidR="00000000" w:rsidRPr="00000000">
          <w:rPr>
            <w:color w:val="1155cc"/>
            <w:u w:val="single"/>
            <w:rtl w:val="0"/>
          </w:rPr>
          <w:t xml:space="preserve">Idée</w:t>
        </w:r>
      </w:hyperlink>
      <w:r w:rsidDel="00000000" w:rsidR="00000000" w:rsidRPr="00000000">
        <w:rPr>
          <w:rtl w:val="0"/>
        </w:rPr>
        <w:t xml:space="preserve">.</w:t>
      </w:r>
    </w:p>
    <w:p w:rsidR="00000000" w:rsidDel="00000000" w:rsidP="00000000" w:rsidRDefault="00000000" w:rsidRPr="00000000" w14:paraId="00000005">
      <w:pPr>
        <w:pStyle w:val="Heading1"/>
        <w:keepNext w:val="0"/>
        <w:keepLines w:val="0"/>
        <w:rPr/>
      </w:pPr>
      <w:bookmarkStart w:colFirst="0" w:colLast="0" w:name="_51swzxjfrwq5" w:id="3"/>
      <w:bookmarkEnd w:id="3"/>
      <w:r w:rsidDel="00000000" w:rsidR="00000000" w:rsidRPr="00000000">
        <w:rPr>
          <w:rtl w:val="0"/>
        </w:rPr>
        <w:t xml:space="preserve">0.1.2. Les flux de CS</w:t>
      </w:r>
    </w:p>
    <w:p w:rsidR="00000000" w:rsidDel="00000000" w:rsidP="00000000" w:rsidRDefault="00000000" w:rsidRPr="00000000" w14:paraId="00000006">
      <w:pPr>
        <w:jc w:val="both"/>
        <w:rPr/>
      </w:pPr>
      <w:r w:rsidDel="00000000" w:rsidR="00000000" w:rsidRPr="00000000">
        <w:rPr>
          <w:rtl w:val="0"/>
        </w:rPr>
        <w:t xml:space="preserve">Le Credo Sum n’est pas une énergie stockée, mais un flux.</w:t>
      </w:r>
    </w:p>
    <w:p w:rsidR="00000000" w:rsidDel="00000000" w:rsidP="00000000" w:rsidRDefault="00000000" w:rsidRPr="00000000" w14:paraId="00000007">
      <w:pPr>
        <w:spacing w:after="0" w:lineRule="auto"/>
        <w:jc w:val="both"/>
        <w:rPr/>
      </w:pPr>
      <w:r w:rsidDel="00000000" w:rsidR="00000000" w:rsidRPr="00000000">
        <w:rPr>
          <w:rtl w:val="0"/>
        </w:rPr>
        <w:t xml:space="preserve">La force d’un flux de CS dépend deux valeurs :</w:t>
      </w:r>
    </w:p>
    <w:p w:rsidR="00000000" w:rsidDel="00000000" w:rsidP="00000000" w:rsidRDefault="00000000" w:rsidRPr="00000000" w14:paraId="00000008">
      <w:pPr>
        <w:numPr>
          <w:ilvl w:val="0"/>
          <w:numId w:val="2"/>
        </w:numPr>
        <w:spacing w:after="0" w:afterAutospacing="0" w:before="0" w:lineRule="auto"/>
        <w:ind w:left="720" w:hanging="360"/>
        <w:jc w:val="both"/>
      </w:pPr>
      <w:r w:rsidDel="00000000" w:rsidR="00000000" w:rsidRPr="00000000">
        <w:rPr>
          <w:rtl w:val="0"/>
        </w:rPr>
        <w:t xml:space="preserve">son </w:t>
      </w:r>
      <w:r w:rsidDel="00000000" w:rsidR="00000000" w:rsidRPr="00000000">
        <w:rPr>
          <w:b w:val="1"/>
          <w:bCs w:val="1"/>
          <w:rtl w:val="0"/>
        </w:rPr>
        <w:t xml:space="preserve">débit</w:t>
      </w:r>
      <w:r w:rsidDel="00000000" w:rsidR="00000000" w:rsidRPr="00000000">
        <w:rPr>
          <w:rtl w:val="0"/>
        </w:rPr>
        <w:t xml:space="preserve">, lié à l’intensité de la Croyance ou de la Volonté ;</w:t>
      </w:r>
    </w:p>
    <w:p w:rsidR="00000000" w:rsidDel="00000000" w:rsidP="00000000" w:rsidRDefault="00000000" w:rsidRPr="00000000" w14:paraId="00000009">
      <w:pPr>
        <w:numPr>
          <w:ilvl w:val="0"/>
          <w:numId w:val="2"/>
        </w:numPr>
        <w:spacing w:before="0" w:beforeAutospacing="0"/>
        <w:ind w:left="720" w:hanging="360"/>
        <w:jc w:val="both"/>
      </w:pPr>
      <w:r w:rsidDel="00000000" w:rsidR="00000000" w:rsidRPr="00000000">
        <w:rPr>
          <w:rtl w:val="0"/>
        </w:rPr>
        <w:t xml:space="preserve">sa </w:t>
      </w:r>
      <w:r w:rsidDel="00000000" w:rsidR="00000000" w:rsidRPr="00000000">
        <w:rPr>
          <w:b w:val="1"/>
          <w:bCs w:val="1"/>
          <w:rtl w:val="0"/>
        </w:rPr>
        <w:t xml:space="preserve">laminarité</w:t>
      </w:r>
      <w:r w:rsidDel="00000000" w:rsidR="00000000" w:rsidRPr="00000000">
        <w:rPr>
          <w:rtl w:val="0"/>
        </w:rPr>
        <w:t xml:space="preserve">, liée au degré de cohérence, de stabilité et clarté de la Croyance ou de la Volonté de l’humain source.</w:t>
      </w:r>
    </w:p>
    <w:p w:rsidR="00000000" w:rsidDel="00000000" w:rsidP="00000000" w:rsidRDefault="00000000" w:rsidRPr="00000000" w14:paraId="0000000A">
      <w:pPr>
        <w:jc w:val="both"/>
        <w:rPr/>
      </w:pPr>
      <w:r w:rsidDel="00000000" w:rsidR="00000000" w:rsidRPr="00000000">
        <w:rPr>
          <w:rtl w:val="0"/>
        </w:rPr>
        <w:t xml:space="preserve">Ainsi, la force d’un flux est le produit entre son débit et sa laminarité.</w:t>
      </w:r>
    </w:p>
    <w:p w:rsidR="00000000" w:rsidDel="00000000" w:rsidP="00000000" w:rsidRDefault="00000000" w:rsidRPr="00000000" w14:paraId="0000000B">
      <w:pPr>
        <w:pStyle w:val="Heading2"/>
        <w:keepNext w:val="0"/>
        <w:keepLines w:val="0"/>
        <w:jc w:val="both"/>
        <w:rPr/>
      </w:pPr>
      <w:bookmarkStart w:colFirst="0" w:colLast="0" w:name="_e8sl5cxvu0d4" w:id="4"/>
      <w:bookmarkEnd w:id="4"/>
      <w:r w:rsidDel="00000000" w:rsidR="00000000" w:rsidRPr="00000000">
        <w:rPr>
          <w:rtl w:val="0"/>
        </w:rPr>
        <w:t xml:space="preserve">0.1.2.1 Définitions des actions d’un flux CS (Traverse, Altére, Porte)</w:t>
      </w:r>
    </w:p>
    <w:p w:rsidR="00000000" w:rsidDel="00000000" w:rsidP="00000000" w:rsidRDefault="00000000" w:rsidRPr="00000000" w14:paraId="0000000C">
      <w:pPr>
        <w:jc w:val="both"/>
        <w:rPr/>
      </w:pPr>
      <w:r w:rsidDel="00000000" w:rsidR="00000000" w:rsidRPr="00000000">
        <w:rPr>
          <w:rtl w:val="0"/>
        </w:rPr>
        <w:t xml:space="preserve">Un flux de </w:t>
      </w:r>
      <w:r w:rsidDel="00000000" w:rsidR="00000000" w:rsidRPr="00000000">
        <w:rPr>
          <w:rtl w:val="0"/>
        </w:rPr>
        <w:t xml:space="preserve">CS F</w:t>
      </w:r>
      <w:r w:rsidDel="00000000" w:rsidR="00000000" w:rsidRPr="00000000">
        <w:rPr>
          <w:rtl w:val="0"/>
        </w:rPr>
        <w:t xml:space="preserve"> est toujours associé à un </w:t>
      </w:r>
      <w:hyperlink r:id="rId10">
        <w:r w:rsidDel="00000000" w:rsidR="00000000" w:rsidRPr="00000000">
          <w:rPr>
            <w:color w:val="1155cc"/>
            <w:u w:val="single"/>
            <w:rtl w:val="0"/>
          </w:rPr>
          <w:t xml:space="preserve">Réceptacle</w:t>
        </w:r>
      </w:hyperlink>
      <w:r w:rsidDel="00000000" w:rsidR="00000000" w:rsidRPr="00000000">
        <w:rPr>
          <w:rtl w:val="0"/>
        </w:rPr>
        <w:t xml:space="preserve"> R. Cela se concrétise par le fait que le flux de CS </w:t>
      </w:r>
      <w:r w:rsidDel="00000000" w:rsidR="00000000" w:rsidRPr="00000000">
        <w:rPr>
          <w:b w:val="1"/>
          <w:bCs w:val="1"/>
          <w:rtl w:val="0"/>
        </w:rPr>
        <w:t xml:space="preserve">Traverse </w:t>
      </w:r>
      <w:r w:rsidDel="00000000" w:rsidR="00000000" w:rsidRPr="00000000">
        <w:rPr>
          <w:rtl w:val="0"/>
        </w:rPr>
        <w:t xml:space="preserve">R.</w:t>
      </w:r>
    </w:p>
    <w:p w:rsidR="00000000" w:rsidDel="00000000" w:rsidP="00000000" w:rsidRDefault="00000000" w:rsidRPr="00000000" w14:paraId="0000000D">
      <w:pPr>
        <w:jc w:val="both"/>
        <w:rPr/>
      </w:pPr>
      <w:r w:rsidDel="00000000" w:rsidR="00000000" w:rsidRPr="00000000">
        <w:rPr>
          <w:rtl w:val="0"/>
        </w:rPr>
        <w:t xml:space="preserve">Si,  F est suffisamment fort, il peut produire des </w:t>
      </w:r>
      <w:hyperlink r:id="rId11">
        <w:r w:rsidDel="00000000" w:rsidR="00000000" w:rsidRPr="00000000">
          <w:rPr>
            <w:color w:val="1155cc"/>
            <w:u w:val="single"/>
            <w:rtl w:val="0"/>
          </w:rPr>
          <w:t xml:space="preserve">Altérations</w:t>
        </w:r>
      </w:hyperlink>
      <w:r w:rsidDel="00000000" w:rsidR="00000000" w:rsidRPr="00000000">
        <w:rPr>
          <w:rtl w:val="0"/>
        </w:rPr>
        <w:t xml:space="preserve"> de R. On dit alors que F </w:t>
      </w:r>
      <w:r w:rsidDel="00000000" w:rsidR="00000000" w:rsidRPr="00000000">
        <w:rPr>
          <w:b w:val="1"/>
          <w:bCs w:val="1"/>
          <w:rtl w:val="0"/>
        </w:rPr>
        <w:t xml:space="preserve">Altére</w:t>
      </w:r>
      <w:r w:rsidDel="00000000" w:rsidR="00000000" w:rsidRPr="00000000">
        <w:rPr>
          <w:rtl w:val="0"/>
        </w:rPr>
        <w:t xml:space="preserve"> R</w:t>
      </w:r>
      <w:r w:rsidDel="00000000" w:rsidR="00000000" w:rsidRPr="00000000">
        <w:rPr>
          <w:rtl w:val="0"/>
        </w:rPr>
        <w:t xml:space="preserve">. </w:t>
      </w:r>
    </w:p>
    <w:p w:rsidR="00000000" w:rsidDel="00000000" w:rsidP="00000000" w:rsidRDefault="00000000" w:rsidRPr="00000000" w14:paraId="0000000E">
      <w:pPr>
        <w:jc w:val="both"/>
        <w:rPr/>
      </w:pPr>
      <w:r w:rsidDel="00000000" w:rsidR="00000000" w:rsidRPr="00000000">
        <w:rPr>
          <w:rtl w:val="0"/>
        </w:rPr>
        <w:t xml:space="preserve">F peut participer à l’ascension et au maintien dans le </w:t>
      </w:r>
      <w:hyperlink r:id="rId12">
        <w:r w:rsidDel="00000000" w:rsidR="00000000" w:rsidRPr="00000000">
          <w:rPr>
            <w:color w:val="1155cc"/>
            <w:u w:val="single"/>
            <w:rtl w:val="0"/>
          </w:rPr>
          <w:t xml:space="preserve">Plan de la Conscience</w:t>
        </w:r>
      </w:hyperlink>
      <w:r w:rsidDel="00000000" w:rsidR="00000000" w:rsidRPr="00000000">
        <w:rPr>
          <w:rtl w:val="0"/>
        </w:rPr>
        <w:t xml:space="preserve"> d’un </w:t>
      </w:r>
      <w:hyperlink r:id="rId13">
        <w:r w:rsidDel="00000000" w:rsidR="00000000" w:rsidRPr="00000000">
          <w:rPr>
            <w:color w:val="1155cc"/>
            <w:u w:val="single"/>
            <w:rtl w:val="0"/>
          </w:rPr>
          <w:t xml:space="preserve">Ascendant </w:t>
        </w:r>
      </w:hyperlink>
      <w:r w:rsidDel="00000000" w:rsidR="00000000" w:rsidRPr="00000000">
        <w:rPr>
          <w:rtl w:val="0"/>
        </w:rPr>
        <w:t xml:space="preserve">A, ou à l’émergence et au maintien dans le Plan de la Conscience d’un </w:t>
      </w:r>
      <w:hyperlink r:id="rId14">
        <w:r w:rsidDel="00000000" w:rsidR="00000000" w:rsidRPr="00000000">
          <w:rPr>
            <w:color w:val="1155cc"/>
            <w:u w:val="single"/>
            <w:rtl w:val="0"/>
          </w:rPr>
          <w:t xml:space="preserve">Emergent</w:t>
        </w:r>
      </w:hyperlink>
      <w:r w:rsidDel="00000000" w:rsidR="00000000" w:rsidRPr="00000000">
        <w:rPr>
          <w:rtl w:val="0"/>
        </w:rPr>
        <w:t xml:space="preserve"> E. On dit alors que F </w:t>
      </w:r>
      <w:r w:rsidDel="00000000" w:rsidR="00000000" w:rsidRPr="00000000">
        <w:rPr>
          <w:b w:val="1"/>
          <w:bCs w:val="1"/>
          <w:rtl w:val="0"/>
        </w:rPr>
        <w:t xml:space="preserve">Porte </w:t>
      </w:r>
      <w:r w:rsidDel="00000000" w:rsidR="00000000" w:rsidRPr="00000000">
        <w:rPr>
          <w:rtl w:val="0"/>
        </w:rPr>
        <w:t xml:space="preserve">A ou E.</w:t>
      </w:r>
    </w:p>
    <w:p w:rsidR="00000000" w:rsidDel="00000000" w:rsidP="00000000" w:rsidRDefault="00000000" w:rsidRPr="00000000" w14:paraId="0000000F">
      <w:pPr>
        <w:pStyle w:val="Heading2"/>
        <w:keepNext w:val="0"/>
        <w:keepLines w:val="0"/>
        <w:jc w:val="both"/>
        <w:rPr/>
      </w:pPr>
      <w:bookmarkStart w:colFirst="0" w:colLast="0" w:name="_qj4dmuq136c9" w:id="5"/>
      <w:bookmarkEnd w:id="5"/>
      <w:r w:rsidDel="00000000" w:rsidR="00000000" w:rsidRPr="00000000">
        <w:rPr>
          <w:rtl w:val="0"/>
        </w:rPr>
        <w:t xml:space="preserve">0.1.2.2 Formes du Flux de CS</w:t>
      </w:r>
    </w:p>
    <w:p w:rsidR="00000000" w:rsidDel="00000000" w:rsidP="00000000" w:rsidRDefault="00000000" w:rsidRPr="00000000" w14:paraId="00000010">
      <w:pPr>
        <w:jc w:val="both"/>
        <w:rPr/>
      </w:pPr>
      <w:r w:rsidDel="00000000" w:rsidR="00000000" w:rsidRPr="00000000">
        <w:rPr>
          <w:rtl w:val="0"/>
        </w:rPr>
        <w:t xml:space="preserve">Un flux de CS peut prendre deux formes complémentaires : </w:t>
      </w:r>
      <w:r w:rsidDel="00000000" w:rsidR="00000000" w:rsidRPr="00000000">
        <w:rPr>
          <w:b w:val="1"/>
          <w:bCs w:val="1"/>
          <w:rtl w:val="0"/>
        </w:rPr>
        <w:t xml:space="preserve">passif</w:t>
      </w:r>
      <w:r w:rsidDel="00000000" w:rsidR="00000000" w:rsidRPr="00000000">
        <w:rPr>
          <w:rtl w:val="0"/>
        </w:rPr>
        <w:t xml:space="preserve"> ou </w:t>
      </w:r>
      <w:r w:rsidDel="00000000" w:rsidR="00000000" w:rsidRPr="00000000">
        <w:rPr>
          <w:b w:val="1"/>
          <w:bCs w:val="1"/>
          <w:rtl w:val="0"/>
        </w:rPr>
        <w:t xml:space="preserve">actif</w:t>
      </w:r>
      <w:r w:rsidDel="00000000" w:rsidR="00000000" w:rsidRPr="00000000">
        <w:rPr>
          <w:rtl w:val="0"/>
        </w:rPr>
        <w:t xml:space="preserve">.</w:t>
      </w:r>
    </w:p>
    <w:p w:rsidR="00000000" w:rsidDel="00000000" w:rsidP="00000000" w:rsidRDefault="00000000" w:rsidRPr="00000000" w14:paraId="00000011">
      <w:pPr>
        <w:pStyle w:val="Heading3"/>
        <w:jc w:val="both"/>
        <w:rPr/>
      </w:pPr>
      <w:bookmarkStart w:colFirst="0" w:colLast="0" w:name="_nezf0c8scd5g" w:id="6"/>
      <w:bookmarkEnd w:id="6"/>
      <w:r w:rsidDel="00000000" w:rsidR="00000000" w:rsidRPr="00000000">
        <w:rPr>
          <w:rtl w:val="0"/>
        </w:rPr>
        <w:t xml:space="preserve">0.1.2.2.1 Le flux de CS passif</w:t>
      </w:r>
    </w:p>
    <w:p w:rsidR="00000000" w:rsidDel="00000000" w:rsidP="00000000" w:rsidRDefault="00000000" w:rsidRPr="00000000" w14:paraId="00000012">
      <w:pPr>
        <w:jc w:val="both"/>
        <w:rPr/>
      </w:pPr>
      <w:r w:rsidDel="00000000" w:rsidR="00000000" w:rsidRPr="00000000">
        <w:rPr>
          <w:rtl w:val="0"/>
        </w:rPr>
        <w:t xml:space="preserve">Un flux de CS passif provient des Croyances durables des </w:t>
      </w:r>
      <w:hyperlink r:id="rId15">
        <w:r w:rsidDel="00000000" w:rsidR="00000000" w:rsidRPr="00000000">
          <w:rPr>
            <w:color w:val="1155cc"/>
            <w:u w:val="single"/>
            <w:rtl w:val="0"/>
          </w:rPr>
          <w:t xml:space="preserve">Croyants</w:t>
        </w:r>
      </w:hyperlink>
      <w:r w:rsidDel="00000000" w:rsidR="00000000" w:rsidRPr="00000000">
        <w:rPr>
          <w:rtl w:val="0"/>
        </w:rPr>
        <w:t xml:space="preserve">.</w:t>
      </w:r>
    </w:p>
    <w:p w:rsidR="00000000" w:rsidDel="00000000" w:rsidP="00000000" w:rsidRDefault="00000000" w:rsidRPr="00000000" w14:paraId="00000013">
      <w:pPr>
        <w:jc w:val="both"/>
        <w:rPr/>
      </w:pPr>
      <w:r w:rsidDel="00000000" w:rsidR="00000000" w:rsidRPr="00000000">
        <w:rPr>
          <w:rtl w:val="0"/>
        </w:rPr>
        <w:t xml:space="preserve">Ainsi, dès qu’un Croyant croit en une Idée, un flux de CS passif lui émanant est créé (dans ce cas on parle de “</w:t>
      </w:r>
      <w:r w:rsidDel="00000000" w:rsidR="00000000" w:rsidRPr="00000000">
        <w:rPr>
          <w:b w:val="1"/>
          <w:bCs w:val="1"/>
          <w:rtl w:val="0"/>
        </w:rPr>
        <w:t xml:space="preserve">Flux de CS Passif Individuel</w:t>
      </w:r>
      <w:r w:rsidDel="00000000" w:rsidR="00000000" w:rsidRPr="00000000">
        <w:rPr>
          <w:rtl w:val="0"/>
        </w:rPr>
        <w:t xml:space="preserve">”). Ce flux se dirige instantanément vers le </w:t>
      </w:r>
      <w:hyperlink r:id="rId16">
        <w:r w:rsidDel="00000000" w:rsidR="00000000" w:rsidRPr="00000000">
          <w:rPr>
            <w:color w:val="1155cc"/>
            <w:u w:val="single"/>
            <w:rtl w:val="0"/>
          </w:rPr>
          <w:t xml:space="preserve">Réceptacle</w:t>
        </w:r>
      </w:hyperlink>
      <w:r w:rsidDel="00000000" w:rsidR="00000000" w:rsidRPr="00000000">
        <w:rPr>
          <w:rtl w:val="0"/>
        </w:rPr>
        <w:t xml:space="preserve"> associé à cette dernière, le traversant et possiblement l’altérant et ou le portant avant de se “diluer” dans le </w:t>
      </w:r>
      <w:hyperlink r:id="rId17">
        <w:r w:rsidDel="00000000" w:rsidR="00000000" w:rsidRPr="00000000">
          <w:rPr>
            <w:color w:val="1155cc"/>
            <w:u w:val="single"/>
            <w:rtl w:val="0"/>
          </w:rPr>
          <w:t xml:space="preserve">Plan de la Conscience</w:t>
        </w:r>
      </w:hyperlink>
      <w:r w:rsidDel="00000000" w:rsidR="00000000" w:rsidRPr="00000000">
        <w:rPr>
          <w:rtl w:val="0"/>
        </w:rPr>
        <w:t xml:space="preserve">.</w:t>
      </w:r>
    </w:p>
    <w:p w:rsidR="00000000" w:rsidDel="00000000" w:rsidP="00000000" w:rsidRDefault="00000000" w:rsidRPr="00000000" w14:paraId="00000014">
      <w:pPr>
        <w:spacing w:after="0" w:line="240" w:lineRule="auto"/>
        <w:jc w:val="both"/>
        <w:rPr/>
      </w:pPr>
      <w:r w:rsidDel="00000000" w:rsidR="00000000" w:rsidRPr="00000000">
        <w:rPr>
          <w:rtl w:val="0"/>
        </w:rPr>
        <w:t xml:space="preserve">Les relations entre Croyant, flux de CS passif et Réceptacle sont : </w:t>
      </w:r>
    </w:p>
    <w:p w:rsidR="00000000" w:rsidDel="00000000" w:rsidP="00000000" w:rsidRDefault="00000000" w:rsidRPr="00000000" w14:paraId="00000015">
      <w:pPr>
        <w:numPr>
          <w:ilvl w:val="0"/>
          <w:numId w:val="1"/>
        </w:numPr>
        <w:spacing w:after="0" w:afterAutospacing="0" w:before="0" w:lineRule="auto"/>
        <w:ind w:left="720" w:hanging="360"/>
        <w:jc w:val="both"/>
      </w:pPr>
      <w:r w:rsidDel="00000000" w:rsidR="00000000" w:rsidRPr="00000000">
        <w:rPr>
          <w:rtl w:val="0"/>
        </w:rPr>
        <w:t xml:space="preserve">1 Croyant donne x flux de CS passif ;</w:t>
      </w:r>
    </w:p>
    <w:p w:rsidR="00000000" w:rsidDel="00000000" w:rsidP="00000000" w:rsidRDefault="00000000" w:rsidRPr="00000000" w14:paraId="00000016">
      <w:pPr>
        <w:numPr>
          <w:ilvl w:val="0"/>
          <w:numId w:val="1"/>
        </w:numPr>
        <w:spacing w:after="0" w:afterAutospacing="0" w:before="0" w:lineRule="auto"/>
        <w:ind w:left="720" w:hanging="360"/>
        <w:jc w:val="both"/>
      </w:pPr>
      <w:r w:rsidDel="00000000" w:rsidR="00000000" w:rsidRPr="00000000">
        <w:rPr>
          <w:rtl w:val="0"/>
        </w:rPr>
        <w:t xml:space="preserve">1 flux peut être la convergence de x flux de CS passif  (dans ce cas on parle de “</w:t>
      </w:r>
      <w:r w:rsidDel="00000000" w:rsidR="00000000" w:rsidRPr="00000000">
        <w:rPr>
          <w:b w:val="1"/>
          <w:bCs w:val="1"/>
          <w:rtl w:val="0"/>
        </w:rPr>
        <w:t xml:space="preserve">Flux de CS Passif Collectif</w:t>
      </w:r>
      <w:r w:rsidDel="00000000" w:rsidR="00000000" w:rsidRPr="00000000">
        <w:rPr>
          <w:rtl w:val="0"/>
        </w:rPr>
        <w:t xml:space="preserve">”)  ;</w:t>
      </w:r>
    </w:p>
    <w:p w:rsidR="00000000" w:rsidDel="00000000" w:rsidP="00000000" w:rsidRDefault="00000000" w:rsidRPr="00000000" w14:paraId="00000017">
      <w:pPr>
        <w:numPr>
          <w:ilvl w:val="0"/>
          <w:numId w:val="1"/>
        </w:numPr>
        <w:spacing w:after="0" w:afterAutospacing="0" w:before="0" w:lineRule="auto"/>
        <w:ind w:left="720" w:hanging="360"/>
        <w:jc w:val="both"/>
      </w:pPr>
      <w:r w:rsidDel="00000000" w:rsidR="00000000" w:rsidRPr="00000000">
        <w:rPr>
          <w:rtl w:val="0"/>
        </w:rPr>
        <w:t xml:space="preserve">1 flux de CS passif traverse 1 Réceptacle ;</w:t>
      </w:r>
    </w:p>
    <w:p w:rsidR="00000000" w:rsidDel="00000000" w:rsidP="00000000" w:rsidRDefault="00000000" w:rsidRPr="00000000" w14:paraId="00000018">
      <w:pPr>
        <w:numPr>
          <w:ilvl w:val="0"/>
          <w:numId w:val="1"/>
        </w:numPr>
        <w:spacing w:before="0" w:lineRule="auto"/>
        <w:ind w:left="720" w:hanging="360"/>
        <w:jc w:val="both"/>
      </w:pPr>
      <w:r w:rsidDel="00000000" w:rsidR="00000000" w:rsidRPr="00000000">
        <w:rPr>
          <w:rtl w:val="0"/>
        </w:rPr>
        <w:t xml:space="preserve">1 Réceptacle peut être traversé par x flux de CS passif.</w:t>
      </w:r>
    </w:p>
    <w:p w:rsidR="00000000" w:rsidDel="00000000" w:rsidP="00000000" w:rsidRDefault="00000000" w:rsidRPr="00000000" w14:paraId="00000019">
      <w:pPr>
        <w:pStyle w:val="Heading3"/>
        <w:jc w:val="both"/>
        <w:rPr/>
      </w:pPr>
      <w:bookmarkStart w:colFirst="0" w:colLast="0" w:name="_4fvlinxi51zs" w:id="7"/>
      <w:bookmarkEnd w:id="7"/>
      <w:r w:rsidDel="00000000" w:rsidR="00000000" w:rsidRPr="00000000">
        <w:rPr>
          <w:rtl w:val="0"/>
        </w:rPr>
        <w:t xml:space="preserve">0.1.2.2.2 Le flux de CS actif</w:t>
      </w:r>
    </w:p>
    <w:p w:rsidR="00000000" w:rsidDel="00000000" w:rsidP="00000000" w:rsidRDefault="00000000" w:rsidRPr="00000000" w14:paraId="0000001A">
      <w:pPr>
        <w:jc w:val="both"/>
        <w:rPr/>
      </w:pPr>
      <w:r w:rsidDel="00000000" w:rsidR="00000000" w:rsidRPr="00000000">
        <w:rPr>
          <w:rtl w:val="0"/>
        </w:rPr>
        <w:t xml:space="preserve">Un flux de CS actif provient de la Volonté d’un humain quant à la réalisation d’une action.</w:t>
      </w:r>
    </w:p>
    <w:p w:rsidR="00000000" w:rsidDel="00000000" w:rsidP="00000000" w:rsidRDefault="00000000" w:rsidRPr="00000000" w14:paraId="0000001B">
      <w:pPr>
        <w:jc w:val="both"/>
        <w:rPr/>
      </w:pPr>
      <w:r w:rsidDel="00000000" w:rsidR="00000000" w:rsidRPr="00000000">
        <w:rPr>
          <w:rtl w:val="0"/>
        </w:rPr>
        <w:t xml:space="preserve">Il permet d’altérer des </w:t>
      </w:r>
      <w:hyperlink r:id="rId18">
        <w:r w:rsidDel="00000000" w:rsidR="00000000" w:rsidRPr="00000000">
          <w:rPr>
            <w:color w:val="1155cc"/>
            <w:u w:val="single"/>
            <w:rtl w:val="0"/>
          </w:rPr>
          <w:t xml:space="preserve">Réceptacles</w:t>
        </w:r>
      </w:hyperlink>
      <w:r w:rsidDel="00000000" w:rsidR="00000000" w:rsidRPr="00000000">
        <w:rPr>
          <w:rtl w:val="0"/>
        </w:rPr>
        <w:t xml:space="preserve"> du </w:t>
      </w:r>
      <w:hyperlink r:id="rId19">
        <w:r w:rsidDel="00000000" w:rsidR="00000000" w:rsidRPr="00000000">
          <w:rPr>
            <w:color w:val="1155cc"/>
            <w:u w:val="single"/>
            <w:rtl w:val="0"/>
          </w:rPr>
          <w:t xml:space="preserve">Plan Physique</w:t>
        </w:r>
      </w:hyperlink>
      <w:r w:rsidDel="00000000" w:rsidR="00000000" w:rsidRPr="00000000">
        <w:rPr>
          <w:rtl w:val="0"/>
        </w:rPr>
        <w:t xml:space="preserve">.</w:t>
      </w:r>
    </w:p>
    <w:p w:rsidR="00000000" w:rsidDel="00000000" w:rsidP="00000000" w:rsidRDefault="00000000" w:rsidRPr="00000000" w14:paraId="0000001C">
      <w:pPr>
        <w:jc w:val="both"/>
        <w:rPr/>
      </w:pPr>
      <w:r w:rsidDel="00000000" w:rsidR="00000000" w:rsidRPr="00000000">
        <w:rPr>
          <w:rtl w:val="0"/>
        </w:rPr>
        <w:t xml:space="preserve">À l’inverse d’un flux passif, le flux actif est le plus souvent éphémère et localisé.</w:t>
      </w:r>
    </w:p>
    <w:p w:rsidR="00000000" w:rsidDel="00000000" w:rsidP="00000000" w:rsidRDefault="00000000" w:rsidRPr="00000000" w14:paraId="0000001D">
      <w:pPr>
        <w:pStyle w:val="Heading1"/>
        <w:keepNext w:val="0"/>
        <w:keepLines w:val="0"/>
        <w:rPr/>
      </w:pPr>
      <w:bookmarkStart w:colFirst="0" w:colLast="0" w:name="_e23n80c8vk3u" w:id="8"/>
      <w:bookmarkEnd w:id="8"/>
      <w:r w:rsidDel="00000000" w:rsidR="00000000" w:rsidRPr="00000000">
        <w:rPr>
          <w:rtl w:val="0"/>
        </w:rPr>
        <w:t xml:space="preserve">0.1.3. Les Manipulateurs de Credo Sum (MCS)</w:t>
      </w:r>
    </w:p>
    <w:p w:rsidR="00000000" w:rsidDel="00000000" w:rsidP="00000000" w:rsidRDefault="00000000" w:rsidRPr="00000000" w14:paraId="0000001E">
      <w:pPr>
        <w:jc w:val="both"/>
        <w:rPr/>
      </w:pPr>
      <w:r w:rsidDel="00000000" w:rsidR="00000000" w:rsidRPr="00000000">
        <w:rPr>
          <w:rtl w:val="0"/>
        </w:rPr>
        <w:t xml:space="preserve">Les Manipulateurs de Credo Sum, sont des humains ou des entités autres capables d’utiliser et ou de produire de manière indépendante, des flux actifs et passifs dans le but de produire des Altérations.</w:t>
      </w:r>
    </w:p>
    <w:p w:rsidR="00000000" w:rsidDel="00000000" w:rsidP="00000000" w:rsidRDefault="00000000" w:rsidRPr="00000000" w14:paraId="0000001F">
      <w:pPr>
        <w:jc w:val="both"/>
        <w:rPr/>
      </w:pPr>
      <w:r w:rsidDel="00000000" w:rsidR="00000000" w:rsidRPr="00000000">
        <w:rPr>
          <w:rtl w:val="0"/>
        </w:rPr>
        <w:t xml:space="preserve">Ces derniers sont très rares et ne sont pas égaux dans leur niveau de manipulation et de production des flux de CS.</w:t>
      </w:r>
    </w:p>
    <w:p w:rsidR="00000000" w:rsidDel="00000000" w:rsidP="00000000" w:rsidRDefault="00000000" w:rsidRPr="00000000" w14:paraId="00000020">
      <w:pPr>
        <w:pStyle w:val="Heading1"/>
        <w:spacing w:after="240" w:before="240" w:lineRule="auto"/>
        <w:rPr/>
      </w:pPr>
      <w:bookmarkStart w:colFirst="0" w:colLast="0" w:name="_lkdqcjiwml4w" w:id="9"/>
      <w:bookmarkEnd w:id="9"/>
      <w:r w:rsidDel="00000000" w:rsidR="00000000" w:rsidRPr="00000000">
        <w:rPr>
          <w:rtl w:val="0"/>
        </w:rPr>
        <w:t xml:space="preserve">0.1.4. Apparence</w:t>
      </w:r>
    </w:p>
    <w:p w:rsidR="00000000" w:rsidDel="00000000" w:rsidP="00000000" w:rsidRDefault="00000000" w:rsidRPr="00000000" w14:paraId="00000021">
      <w:pPr>
        <w:jc w:val="both"/>
        <w:rPr/>
      </w:pPr>
      <w:r w:rsidDel="00000000" w:rsidR="00000000" w:rsidRPr="00000000">
        <w:rPr>
          <w:rtl w:val="0"/>
        </w:rPr>
        <w:t xml:space="preserve">Les flux de Credo Sum restent invisibles pour l’homme, sauf à de très rares exceptions impliquant une forte concentration autour d’un Réceptacle.</w:t>
      </w:r>
    </w:p>
    <w:p w:rsidR="00000000" w:rsidDel="00000000" w:rsidP="00000000" w:rsidRDefault="00000000" w:rsidRPr="00000000" w14:paraId="00000022">
      <w:pPr>
        <w:spacing w:after="0" w:lineRule="auto"/>
        <w:jc w:val="both"/>
        <w:rPr/>
      </w:pPr>
      <w:r w:rsidDel="00000000" w:rsidR="00000000" w:rsidRPr="00000000">
        <w:rPr>
          <w:rtl w:val="0"/>
        </w:rPr>
        <w:t xml:space="preserve">Dans ce cas particulier, les flux CS peut être perçu comme prenant l’apparence d’une matière translucide :</w:t>
      </w:r>
    </w:p>
    <w:p w:rsidR="00000000" w:rsidDel="00000000" w:rsidP="00000000" w:rsidRDefault="00000000" w:rsidRPr="00000000" w14:paraId="00000023">
      <w:pPr>
        <w:numPr>
          <w:ilvl w:val="0"/>
          <w:numId w:val="3"/>
        </w:numPr>
        <w:spacing w:after="0" w:afterAutospacing="0" w:before="0" w:lineRule="auto"/>
        <w:ind w:left="720" w:hanging="360"/>
        <w:jc w:val="both"/>
      </w:pPr>
      <w:r w:rsidDel="00000000" w:rsidR="00000000" w:rsidRPr="00000000">
        <w:rPr>
          <w:rtl w:val="0"/>
        </w:rPr>
        <w:t xml:space="preserve">semblable à l’eau dans sa capacité à distordre la lumière ;</w:t>
      </w:r>
    </w:p>
    <w:p w:rsidR="00000000" w:rsidDel="00000000" w:rsidP="00000000" w:rsidRDefault="00000000" w:rsidRPr="00000000" w14:paraId="00000024">
      <w:pPr>
        <w:numPr>
          <w:ilvl w:val="0"/>
          <w:numId w:val="3"/>
        </w:numPr>
        <w:spacing w:after="0" w:afterAutospacing="0" w:before="0" w:beforeAutospacing="0"/>
        <w:ind w:left="720" w:hanging="360"/>
        <w:jc w:val="both"/>
      </w:pPr>
      <w:r w:rsidDel="00000000" w:rsidR="00000000" w:rsidRPr="00000000">
        <w:rPr>
          <w:rtl w:val="0"/>
        </w:rPr>
        <w:t xml:space="preserve">émettant une lumière blanche légèrement coloré (la couleur dépend de l’émotion associé au flux), dont l’intensité dépend du débit et de la cohérence du flux ;</w:t>
      </w:r>
    </w:p>
    <w:p w:rsidR="00000000" w:rsidDel="00000000" w:rsidP="00000000" w:rsidRDefault="00000000" w:rsidRPr="00000000" w14:paraId="00000025">
      <w:pPr>
        <w:numPr>
          <w:ilvl w:val="0"/>
          <w:numId w:val="3"/>
        </w:numPr>
        <w:spacing w:after="0" w:afterAutospacing="0" w:before="0" w:beforeAutospacing="0"/>
        <w:ind w:left="720" w:hanging="360"/>
        <w:jc w:val="both"/>
      </w:pPr>
      <w:r w:rsidDel="00000000" w:rsidR="00000000" w:rsidRPr="00000000">
        <w:rPr>
          <w:rtl w:val="0"/>
        </w:rPr>
        <w:t xml:space="preserve">animé de mouvements abstraits et désorganisés, proches de structures fractales (la forme de la structure fractale dépend de l’émotion associé au flux);</w:t>
      </w:r>
    </w:p>
    <w:p w:rsidR="00000000" w:rsidDel="00000000" w:rsidP="00000000" w:rsidRDefault="00000000" w:rsidRPr="00000000" w14:paraId="00000026">
      <w:pPr>
        <w:numPr>
          <w:ilvl w:val="0"/>
          <w:numId w:val="3"/>
        </w:numPr>
        <w:spacing w:before="0" w:beforeAutospacing="0"/>
        <w:ind w:left="720" w:hanging="360"/>
        <w:jc w:val="both"/>
      </w:pPr>
      <w:r w:rsidDel="00000000" w:rsidR="00000000" w:rsidRPr="00000000">
        <w:rPr>
          <w:rtl w:val="0"/>
        </w:rPr>
        <w:t xml:space="preserve">s’organisant en dynamiques concentriques autour du Réceptacle traversé.</w:t>
        <w:br w:type="textWrapping"/>
        <w:br w:type="textWrapping"/>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p w:rsidR="00000000" w:rsidDel="00000000" w:rsidP="00000000" w:rsidRDefault="00000000" w:rsidRPr="00000000" w14:paraId="00000027">
            <w:pPr>
              <w:widowControl w:val="0"/>
              <w:spacing w:after="0" w:before="0" w:line="240" w:lineRule="auto"/>
              <w:rPr/>
            </w:pPr>
            <w:r w:rsidDel="00000000" w:rsidR="00000000" w:rsidRPr="00000000">
              <w:rPr>
                <w:rtl w:val="0"/>
              </w:rPr>
              <w:t xml:space="preserve">Emotion</w:t>
            </w:r>
          </w:p>
        </w:tc>
        <w:tc>
          <w:tcPr/>
          <w:p w:rsidR="00000000" w:rsidDel="00000000" w:rsidP="00000000" w:rsidRDefault="00000000" w:rsidRPr="00000000" w14:paraId="00000028">
            <w:pPr>
              <w:widowControl w:val="0"/>
              <w:spacing w:after="0" w:before="0" w:line="240" w:lineRule="auto"/>
              <w:rPr/>
            </w:pPr>
            <w:r w:rsidDel="00000000" w:rsidR="00000000" w:rsidRPr="00000000">
              <w:rPr>
                <w:rtl w:val="0"/>
              </w:rPr>
              <w:t xml:space="preserve">Couleur</w:t>
            </w:r>
          </w:p>
        </w:tc>
        <w:tc>
          <w:tcPr/>
          <w:p w:rsidR="00000000" w:rsidDel="00000000" w:rsidP="00000000" w:rsidRDefault="00000000" w:rsidRPr="00000000" w14:paraId="00000029">
            <w:pPr>
              <w:widowControl w:val="0"/>
              <w:spacing w:after="0" w:before="0" w:line="240" w:lineRule="auto"/>
              <w:rPr/>
            </w:pPr>
            <w:r w:rsidDel="00000000" w:rsidR="00000000" w:rsidRPr="00000000">
              <w:rPr>
                <w:rtl w:val="0"/>
              </w:rPr>
              <w:t xml:space="preserve">Forme de struct. de Fractale</w:t>
            </w:r>
          </w:p>
        </w:tc>
      </w:tr>
      <w:tr>
        <w:trPr>
          <w:cantSplit w:val="0"/>
          <w:tblHeader w:val="0"/>
        </w:trPr>
        <w:tc>
          <w:tcPr/>
          <w:p w:rsidR="00000000" w:rsidDel="00000000" w:rsidP="00000000" w:rsidRDefault="00000000" w:rsidRPr="00000000" w14:paraId="0000002A">
            <w:pPr>
              <w:widowControl w:val="0"/>
              <w:spacing w:after="0" w:before="0" w:line="240" w:lineRule="auto"/>
              <w:rPr/>
            </w:pPr>
            <w:hyperlink r:id="rId20">
              <w:r w:rsidDel="00000000" w:rsidR="00000000" w:rsidRPr="00000000">
                <w:rPr>
                  <w:color w:val="1155cc"/>
                  <w:u w:val="single"/>
                  <w:rtl w:val="0"/>
                </w:rPr>
                <w:t xml:space="preserve">Colère</w:t>
              </w:r>
            </w:hyperlink>
            <w:r w:rsidDel="00000000" w:rsidR="00000000" w:rsidRPr="00000000">
              <w:rPr>
                <w:rtl w:val="0"/>
              </w:rPr>
            </w:r>
          </w:p>
        </w:tc>
        <w:tc>
          <w:tcPr/>
          <w:p w:rsidR="00000000" w:rsidDel="00000000" w:rsidP="00000000" w:rsidRDefault="00000000" w:rsidRPr="00000000" w14:paraId="0000002B">
            <w:pPr>
              <w:widowControl w:val="0"/>
              <w:spacing w:after="0" w:before="0" w:line="240" w:lineRule="auto"/>
              <w:rPr/>
            </w:pPr>
            <w:r w:rsidDel="00000000" w:rsidR="00000000" w:rsidRPr="00000000">
              <w:rPr>
                <w:rtl w:val="0"/>
              </w:rPr>
              <w:t xml:space="preserve">Orange/Rouge</w:t>
            </w:r>
          </w:p>
        </w:tc>
        <w:tc>
          <w:tcPr/>
          <w:p w:rsidR="00000000" w:rsidDel="00000000" w:rsidP="00000000" w:rsidRDefault="00000000" w:rsidRPr="00000000" w14:paraId="0000002C">
            <w:pPr>
              <w:widowControl w:val="0"/>
              <w:spacing w:after="0" w:before="0" w:line="240" w:lineRule="auto"/>
              <w:rPr/>
            </w:pPr>
            <w:r w:rsidDel="00000000" w:rsidR="00000000" w:rsidRPr="00000000">
              <w:rPr>
                <w:rtl w:val="0"/>
              </w:rPr>
              <w:t xml:space="preserve">En éclair</w:t>
            </w:r>
          </w:p>
        </w:tc>
      </w:tr>
      <w:tr>
        <w:trPr>
          <w:cantSplit w:val="0"/>
          <w:tblHeader w:val="0"/>
        </w:trPr>
        <w:tc>
          <w:tcPr/>
          <w:p w:rsidR="00000000" w:rsidDel="00000000" w:rsidP="00000000" w:rsidRDefault="00000000" w:rsidRPr="00000000" w14:paraId="0000002D">
            <w:pPr>
              <w:widowControl w:val="0"/>
              <w:spacing w:after="0" w:before="0" w:line="240" w:lineRule="auto"/>
              <w:rPr/>
            </w:pPr>
            <w:hyperlink r:id="rId21">
              <w:r w:rsidDel="00000000" w:rsidR="00000000" w:rsidRPr="00000000">
                <w:rPr>
                  <w:color w:val="1155cc"/>
                  <w:u w:val="single"/>
                  <w:rtl w:val="0"/>
                </w:rPr>
                <w:t xml:space="preserve">Haine</w:t>
              </w:r>
            </w:hyperlink>
            <w:r w:rsidDel="00000000" w:rsidR="00000000" w:rsidRPr="00000000">
              <w:rPr>
                <w:rtl w:val="0"/>
              </w:rPr>
            </w:r>
          </w:p>
        </w:tc>
        <w:tc>
          <w:tcPr/>
          <w:p w:rsidR="00000000" w:rsidDel="00000000" w:rsidP="00000000" w:rsidRDefault="00000000" w:rsidRPr="00000000" w14:paraId="0000002E">
            <w:pPr>
              <w:widowControl w:val="0"/>
              <w:spacing w:after="0" w:before="0" w:line="240" w:lineRule="auto"/>
              <w:rPr/>
            </w:pPr>
            <w:r w:rsidDel="00000000" w:rsidR="00000000" w:rsidRPr="00000000">
              <w:rPr>
                <w:rtl w:val="0"/>
              </w:rPr>
              <w:t xml:space="preserve">Rouge/Noir</w:t>
            </w:r>
          </w:p>
        </w:tc>
        <w:tc>
          <w:tcPr/>
          <w:p w:rsidR="00000000" w:rsidDel="00000000" w:rsidP="00000000" w:rsidRDefault="00000000" w:rsidRPr="00000000" w14:paraId="0000002F">
            <w:pPr>
              <w:widowControl w:val="0"/>
              <w:spacing w:after="0" w:before="0" w:line="240" w:lineRule="auto"/>
              <w:rPr/>
            </w:pPr>
            <w:r w:rsidDel="00000000" w:rsidR="00000000" w:rsidRPr="00000000">
              <w:rPr>
                <w:rtl w:val="0"/>
              </w:rPr>
              <w:t xml:space="preserve">Flamme</w:t>
            </w:r>
          </w:p>
        </w:tc>
      </w:tr>
      <w:tr>
        <w:trPr>
          <w:cantSplit w:val="0"/>
          <w:tblHeader w:val="0"/>
        </w:trPr>
        <w:tc>
          <w:tcPr/>
          <w:p w:rsidR="00000000" w:rsidDel="00000000" w:rsidP="00000000" w:rsidRDefault="00000000" w:rsidRPr="00000000" w14:paraId="00000030">
            <w:pPr>
              <w:widowControl w:val="0"/>
              <w:spacing w:after="0" w:before="0" w:line="240" w:lineRule="auto"/>
              <w:rPr/>
            </w:pPr>
            <w:hyperlink r:id="rId22">
              <w:r w:rsidDel="00000000" w:rsidR="00000000" w:rsidRPr="00000000">
                <w:rPr>
                  <w:color w:val="1155cc"/>
                  <w:u w:val="single"/>
                  <w:rtl w:val="0"/>
                </w:rPr>
                <w:t xml:space="preserve">Peur et Dégoût</w:t>
              </w:r>
            </w:hyperlink>
            <w:r w:rsidDel="00000000" w:rsidR="00000000" w:rsidRPr="00000000">
              <w:rPr>
                <w:rtl w:val="0"/>
              </w:rPr>
            </w:r>
          </w:p>
        </w:tc>
        <w:tc>
          <w:tcPr/>
          <w:p w:rsidR="00000000" w:rsidDel="00000000" w:rsidP="00000000" w:rsidRDefault="00000000" w:rsidRPr="00000000" w14:paraId="00000031">
            <w:pPr>
              <w:widowControl w:val="0"/>
              <w:spacing w:after="0" w:before="0" w:line="240" w:lineRule="auto"/>
              <w:rPr/>
            </w:pPr>
            <w:r w:rsidDel="00000000" w:rsidR="00000000" w:rsidRPr="00000000">
              <w:rPr>
                <w:rtl w:val="0"/>
              </w:rPr>
              <w:t xml:space="preserve">Vert/jaune</w:t>
            </w:r>
          </w:p>
        </w:tc>
        <w:tc>
          <w:tcPr/>
          <w:p w:rsidR="00000000" w:rsidDel="00000000" w:rsidP="00000000" w:rsidRDefault="00000000" w:rsidRPr="00000000" w14:paraId="00000032">
            <w:pPr>
              <w:widowControl w:val="0"/>
              <w:spacing w:after="0" w:before="0" w:line="240" w:lineRule="auto"/>
              <w:rPr/>
            </w:pPr>
            <w:r w:rsidDel="00000000" w:rsidR="00000000" w:rsidRPr="00000000">
              <w:rPr>
                <w:rtl w:val="0"/>
              </w:rPr>
              <w:t xml:space="preserve">Vapeur lourde</w:t>
            </w:r>
          </w:p>
        </w:tc>
      </w:tr>
      <w:tr>
        <w:trPr>
          <w:cantSplit w:val="0"/>
          <w:tblHeader w:val="0"/>
        </w:trPr>
        <w:tc>
          <w:tcPr/>
          <w:p w:rsidR="00000000" w:rsidDel="00000000" w:rsidP="00000000" w:rsidRDefault="00000000" w:rsidRPr="00000000" w14:paraId="00000033">
            <w:pPr>
              <w:widowControl w:val="0"/>
              <w:spacing w:after="0" w:before="0" w:line="240" w:lineRule="auto"/>
              <w:rPr/>
            </w:pPr>
            <w:hyperlink r:id="rId23">
              <w:r w:rsidDel="00000000" w:rsidR="00000000" w:rsidRPr="00000000">
                <w:rPr>
                  <w:color w:val="1155cc"/>
                  <w:u w:val="single"/>
                  <w:rtl w:val="0"/>
                </w:rPr>
                <w:t xml:space="preserve">Amour</w:t>
              </w:r>
            </w:hyperlink>
            <w:r w:rsidDel="00000000" w:rsidR="00000000" w:rsidRPr="00000000">
              <w:rPr>
                <w:rtl w:val="0"/>
              </w:rPr>
            </w:r>
          </w:p>
        </w:tc>
        <w:tc>
          <w:tcPr/>
          <w:p w:rsidR="00000000" w:rsidDel="00000000" w:rsidP="00000000" w:rsidRDefault="00000000" w:rsidRPr="00000000" w14:paraId="00000034">
            <w:pPr>
              <w:widowControl w:val="0"/>
              <w:spacing w:after="0" w:before="0" w:line="240" w:lineRule="auto"/>
              <w:rPr/>
            </w:pPr>
            <w:r w:rsidDel="00000000" w:rsidR="00000000" w:rsidRPr="00000000">
              <w:rPr>
                <w:rtl w:val="0"/>
              </w:rPr>
              <w:t xml:space="preserve">Rose Pâle</w:t>
            </w:r>
          </w:p>
        </w:tc>
        <w:tc>
          <w:tcPr/>
          <w:p w:rsidR="00000000" w:rsidDel="00000000" w:rsidP="00000000" w:rsidRDefault="00000000" w:rsidRPr="00000000" w14:paraId="00000035">
            <w:pPr>
              <w:widowControl w:val="0"/>
              <w:spacing w:after="0" w:before="0" w:line="240" w:lineRule="auto"/>
              <w:rPr/>
            </w:pPr>
            <w:r w:rsidDel="00000000" w:rsidR="00000000" w:rsidRPr="00000000">
              <w:rPr>
                <w:rtl w:val="0"/>
              </w:rPr>
              <w:t xml:space="preserve">Fumée légère</w:t>
            </w:r>
          </w:p>
        </w:tc>
      </w:tr>
      <w:tr>
        <w:trPr>
          <w:cantSplit w:val="0"/>
          <w:tblHeader w:val="0"/>
        </w:trPr>
        <w:tc>
          <w:tcPr/>
          <w:p w:rsidR="00000000" w:rsidDel="00000000" w:rsidP="00000000" w:rsidRDefault="00000000" w:rsidRPr="00000000" w14:paraId="00000036">
            <w:pPr>
              <w:widowControl w:val="0"/>
              <w:spacing w:after="0" w:before="0" w:line="240" w:lineRule="auto"/>
              <w:rPr/>
            </w:pPr>
            <w:hyperlink r:id="rId24">
              <w:r w:rsidDel="00000000" w:rsidR="00000000" w:rsidRPr="00000000">
                <w:rPr>
                  <w:color w:val="1155cc"/>
                  <w:u w:val="single"/>
                  <w:rtl w:val="0"/>
                </w:rPr>
                <w:t xml:space="preserve">Crainte et Adoration</w:t>
              </w:r>
            </w:hyperlink>
            <w:r w:rsidDel="00000000" w:rsidR="00000000" w:rsidRPr="00000000">
              <w:rPr>
                <w:rtl w:val="0"/>
              </w:rPr>
            </w:r>
          </w:p>
        </w:tc>
        <w:tc>
          <w:tcPr/>
          <w:p w:rsidR="00000000" w:rsidDel="00000000" w:rsidP="00000000" w:rsidRDefault="00000000" w:rsidRPr="00000000" w14:paraId="00000037">
            <w:pPr>
              <w:widowControl w:val="0"/>
              <w:spacing w:after="0" w:before="0" w:line="240" w:lineRule="auto"/>
              <w:rPr/>
            </w:pPr>
            <w:r w:rsidDel="00000000" w:rsidR="00000000" w:rsidRPr="00000000">
              <w:rPr>
                <w:rtl w:val="0"/>
              </w:rPr>
              <w:t xml:space="preserve">Violet</w:t>
            </w:r>
          </w:p>
        </w:tc>
        <w:tc>
          <w:tcPr/>
          <w:p w:rsidR="00000000" w:rsidDel="00000000" w:rsidP="00000000" w:rsidRDefault="00000000" w:rsidRPr="00000000" w14:paraId="00000038">
            <w:pPr>
              <w:widowControl w:val="0"/>
              <w:spacing w:after="0" w:before="0" w:line="240" w:lineRule="auto"/>
              <w:rPr/>
            </w:pPr>
            <w:r w:rsidDel="00000000" w:rsidR="00000000" w:rsidRPr="00000000">
              <w:rPr>
                <w:rtl w:val="0"/>
              </w:rPr>
              <w:t xml:space="preserve">Plasma</w:t>
            </w:r>
          </w:p>
        </w:tc>
      </w:tr>
      <w:tr>
        <w:trPr>
          <w:cantSplit w:val="0"/>
          <w:tblHeader w:val="0"/>
        </w:trPr>
        <w:tc>
          <w:tcPr/>
          <w:p w:rsidR="00000000" w:rsidDel="00000000" w:rsidP="00000000" w:rsidRDefault="00000000" w:rsidRPr="00000000" w14:paraId="00000039">
            <w:pPr>
              <w:widowControl w:val="0"/>
              <w:spacing w:after="0" w:before="0" w:line="240" w:lineRule="auto"/>
              <w:rPr/>
            </w:pPr>
            <w:hyperlink r:id="rId25">
              <w:r w:rsidDel="00000000" w:rsidR="00000000" w:rsidRPr="00000000">
                <w:rPr>
                  <w:color w:val="1155cc"/>
                  <w:u w:val="single"/>
                  <w:rtl w:val="0"/>
                </w:rPr>
                <w:t xml:space="preserve">Joie</w:t>
              </w:r>
            </w:hyperlink>
            <w:r w:rsidDel="00000000" w:rsidR="00000000" w:rsidRPr="00000000">
              <w:rPr>
                <w:rtl w:val="0"/>
              </w:rPr>
            </w:r>
          </w:p>
        </w:tc>
        <w:tc>
          <w:tcPr/>
          <w:p w:rsidR="00000000" w:rsidDel="00000000" w:rsidP="00000000" w:rsidRDefault="00000000" w:rsidRPr="00000000" w14:paraId="0000003A">
            <w:pPr>
              <w:widowControl w:val="0"/>
              <w:spacing w:after="0" w:before="0" w:line="240" w:lineRule="auto"/>
              <w:rPr/>
            </w:pPr>
            <w:r w:rsidDel="00000000" w:rsidR="00000000" w:rsidRPr="00000000">
              <w:rPr>
                <w:rtl w:val="0"/>
              </w:rPr>
              <w:t xml:space="preserve">Or</w:t>
            </w:r>
          </w:p>
        </w:tc>
        <w:tc>
          <w:tcPr/>
          <w:p w:rsidR="00000000" w:rsidDel="00000000" w:rsidP="00000000" w:rsidRDefault="00000000" w:rsidRPr="00000000" w14:paraId="0000003B">
            <w:pPr>
              <w:widowControl w:val="0"/>
              <w:spacing w:after="0" w:before="0" w:line="240" w:lineRule="auto"/>
              <w:rPr/>
            </w:pPr>
            <w:r w:rsidDel="00000000" w:rsidR="00000000" w:rsidRPr="00000000">
              <w:rPr>
                <w:rtl w:val="0"/>
              </w:rPr>
              <w:t xml:space="preserve">Etincelle</w:t>
            </w:r>
          </w:p>
        </w:tc>
      </w:tr>
      <w:tr>
        <w:trPr>
          <w:cantSplit w:val="0"/>
          <w:tblHeader w:val="0"/>
        </w:trPr>
        <w:tc>
          <w:tcPr/>
          <w:p w:rsidR="00000000" w:rsidDel="00000000" w:rsidP="00000000" w:rsidRDefault="00000000" w:rsidRPr="00000000" w14:paraId="0000003C">
            <w:pPr>
              <w:widowControl w:val="0"/>
              <w:spacing w:after="0" w:before="0" w:line="240" w:lineRule="auto"/>
              <w:rPr/>
            </w:pPr>
            <w:hyperlink r:id="rId26">
              <w:r w:rsidDel="00000000" w:rsidR="00000000" w:rsidRPr="00000000">
                <w:rPr>
                  <w:color w:val="1155cc"/>
                  <w:u w:val="single"/>
                  <w:rtl w:val="0"/>
                </w:rPr>
                <w:t xml:space="preserve">Tristesse</w:t>
              </w:r>
            </w:hyperlink>
            <w:r w:rsidDel="00000000" w:rsidR="00000000" w:rsidRPr="00000000">
              <w:rPr>
                <w:rtl w:val="0"/>
              </w:rPr>
            </w:r>
          </w:p>
        </w:tc>
        <w:tc>
          <w:tcPr/>
          <w:p w:rsidR="00000000" w:rsidDel="00000000" w:rsidP="00000000" w:rsidRDefault="00000000" w:rsidRPr="00000000" w14:paraId="0000003D">
            <w:pPr>
              <w:widowControl w:val="0"/>
              <w:spacing w:after="0" w:before="0" w:line="240" w:lineRule="auto"/>
              <w:rPr/>
            </w:pPr>
            <w:r w:rsidDel="00000000" w:rsidR="00000000" w:rsidRPr="00000000">
              <w:rPr>
                <w:rtl w:val="0"/>
              </w:rPr>
              <w:t xml:space="preserve">Bleu</w:t>
            </w:r>
          </w:p>
        </w:tc>
        <w:tc>
          <w:tcPr/>
          <w:p w:rsidR="00000000" w:rsidDel="00000000" w:rsidP="00000000" w:rsidRDefault="00000000" w:rsidRPr="00000000" w14:paraId="0000003E">
            <w:pPr>
              <w:widowControl w:val="0"/>
              <w:spacing w:after="0" w:before="0" w:line="240" w:lineRule="auto"/>
              <w:rPr/>
            </w:pPr>
            <w:r w:rsidDel="00000000" w:rsidR="00000000" w:rsidRPr="00000000">
              <w:rPr>
                <w:rtl w:val="0"/>
              </w:rPr>
              <w:t xml:space="preserve">Liquide</w:t>
            </w:r>
          </w:p>
        </w:tc>
      </w:tr>
    </w:tbl>
    <w:p w:rsidR="00000000" w:rsidDel="00000000" w:rsidP="00000000" w:rsidRDefault="00000000" w:rsidRPr="00000000" w14:paraId="0000003F">
      <w:pPr>
        <w:pStyle w:val="Heading1"/>
        <w:keepNext w:val="0"/>
        <w:keepLines w:val="0"/>
        <w:rPr/>
      </w:pPr>
      <w:bookmarkStart w:colFirst="0" w:colLast="0" w:name="_n5d693quavog" w:id="10"/>
      <w:bookmarkEnd w:id="10"/>
      <w:r w:rsidDel="00000000" w:rsidR="00000000" w:rsidRPr="00000000">
        <w:rPr>
          <w:rtl w:val="0"/>
        </w:rPr>
        <w:t xml:space="preserve">0.1.5. Rapport à l’Omnideus et à l’Équilibre</w:t>
      </w:r>
    </w:p>
    <w:p w:rsidR="00000000" w:rsidDel="00000000" w:rsidP="00000000" w:rsidRDefault="00000000" w:rsidRPr="00000000" w14:paraId="00000040">
      <w:pPr>
        <w:jc w:val="both"/>
        <w:rPr/>
      </w:pPr>
      <w:r w:rsidDel="00000000" w:rsidR="00000000" w:rsidRPr="00000000">
        <w:rPr>
          <w:rtl w:val="0"/>
        </w:rPr>
        <w:t xml:space="preserve">Le Credo Sum apparaît avec la Conscience humaine et s’inscrit dans l’ordre cosmologique régi par </w:t>
      </w:r>
      <w:hyperlink r:id="rId27">
        <w:r w:rsidDel="00000000" w:rsidR="00000000" w:rsidRPr="00000000">
          <w:rPr>
            <w:color w:val="1155cc"/>
            <w:u w:val="single"/>
            <w:rtl w:val="0"/>
          </w:rPr>
          <w:t xml:space="preserve">l’Équilibre</w:t>
        </w:r>
      </w:hyperlink>
      <w:r w:rsidDel="00000000" w:rsidR="00000000" w:rsidRPr="00000000">
        <w:rPr>
          <w:rtl w:val="0"/>
        </w:rPr>
        <w:t xml:space="preserve">. Il est le lien entre le  Plan Physique et le Plan de la Conscience.</w:t>
      </w:r>
    </w:p>
    <w:p w:rsidR="00000000" w:rsidDel="00000000" w:rsidP="00000000" w:rsidRDefault="00000000" w:rsidRPr="00000000" w14:paraId="00000041">
      <w:pPr>
        <w:jc w:val="both"/>
        <w:rPr/>
      </w:pPr>
      <w:r w:rsidDel="00000000" w:rsidR="00000000" w:rsidRPr="00000000">
        <w:rPr>
          <w:rtl w:val="0"/>
        </w:rPr>
        <w:t xml:space="preserve">Toutefois, son existence ultime peut recevoir plusieurs lectures métaphysiques : simple conséquence du développement de la Conscience sous l’Équilibre, ou élément plus profond d’un ordre voulu, lié à l’hypothèse de </w:t>
      </w:r>
      <w:hyperlink r:id="rId28">
        <w:r w:rsidDel="00000000" w:rsidR="00000000" w:rsidRPr="00000000">
          <w:rPr>
            <w:color w:val="1155cc"/>
            <w:u w:val="single"/>
            <w:rtl w:val="0"/>
          </w:rPr>
          <w:t xml:space="preserve">l’Omnideus</w:t>
        </w:r>
      </w:hyperlink>
      <w:r w:rsidDel="00000000" w:rsidR="00000000" w:rsidRPr="00000000">
        <w:rPr>
          <w:rtl w:val="0"/>
        </w:rPr>
        <w:t xml:space="preserve">.</w:t>
      </w:r>
    </w:p>
    <w:p w:rsidR="00000000" w:rsidDel="00000000" w:rsidP="00000000" w:rsidRDefault="00000000" w:rsidRPr="00000000" w14:paraId="00000042">
      <w:pPr>
        <w:jc w:val="both"/>
        <w:rPr/>
      </w:pPr>
      <w:r w:rsidDel="00000000" w:rsidR="00000000" w:rsidRPr="00000000">
        <w:rPr>
          <w:rtl w:val="0"/>
        </w:rPr>
        <w:t xml:space="preserve">Le canon ne tranche pas définitivement entre ces lectures.</w:t>
      </w:r>
    </w:p>
    <w:p w:rsidR="00000000" w:rsidDel="00000000" w:rsidP="00000000" w:rsidRDefault="00000000" w:rsidRPr="00000000" w14:paraId="00000043">
      <w:pPr>
        <w:pStyle w:val="Heading1"/>
        <w:keepNext w:val="0"/>
        <w:keepLines w:val="0"/>
        <w:rPr/>
      </w:pPr>
      <w:bookmarkStart w:colFirst="0" w:colLast="0" w:name="_5schyeyfeon3" w:id="11"/>
      <w:bookmarkEnd w:id="11"/>
      <w:r w:rsidDel="00000000" w:rsidR="00000000" w:rsidRPr="00000000">
        <w:rPr>
          <w:rtl w:val="0"/>
        </w:rPr>
        <w:t xml:space="preserve">0.1.6. Rôle dans la fiction</w:t>
      </w:r>
    </w:p>
    <w:p w:rsidR="00000000" w:rsidDel="00000000" w:rsidP="00000000" w:rsidRDefault="00000000" w:rsidRPr="00000000" w14:paraId="00000044">
      <w:pPr>
        <w:jc w:val="both"/>
        <w:rPr/>
      </w:pPr>
      <w:r w:rsidDel="00000000" w:rsidR="00000000" w:rsidRPr="00000000">
        <w:rPr>
          <w:rtl w:val="0"/>
        </w:rPr>
        <w:t xml:space="preserve">Le Credo Sum est un des éléments fondamentaux et fantastiques  de </w:t>
      </w:r>
      <w:hyperlink r:id="rId29">
        <w:r w:rsidDel="00000000" w:rsidR="00000000" w:rsidRPr="00000000">
          <w:rPr>
            <w:color w:val="1155cc"/>
            <w:u w:val="single"/>
            <w:rtl w:val="0"/>
          </w:rPr>
          <w:t xml:space="preserve">l’Univers</w:t>
        </w:r>
      </w:hyperlink>
      <w:r w:rsidDel="00000000" w:rsidR="00000000" w:rsidRPr="00000000">
        <w:rPr>
          <w:rtl w:val="0"/>
        </w:rPr>
        <w:t xml:space="preserve"> de Conscientia : Apostoli. Il est ce par quoi la conscience humaine cesse d’être seulement intérieure et devient une puissance effective dans l’Univers.</w:t>
      </w:r>
    </w:p>
    <w:p w:rsidR="00000000" w:rsidDel="00000000" w:rsidP="00000000" w:rsidRDefault="00000000" w:rsidRPr="00000000" w14:paraId="00000045">
      <w:pPr>
        <w:pStyle w:val="Title"/>
        <w:spacing w:after="240" w:before="240" w:lineRule="auto"/>
        <w:jc w:val="both"/>
        <w:rPr/>
      </w:pPr>
      <w:bookmarkStart w:colFirst="0" w:colLast="0" w:name="_x4fgpci7jvtg" w:id="12"/>
      <w:bookmarkEnd w:id="12"/>
      <w:r w:rsidDel="00000000" w:rsidR="00000000" w:rsidRPr="00000000">
        <w:rPr>
          <w:rtl w:val="0"/>
        </w:rPr>
      </w:r>
    </w:p>
    <w:p w:rsidR="00000000" w:rsidDel="00000000" w:rsidP="00000000" w:rsidRDefault="00000000" w:rsidRPr="00000000" w14:paraId="00000046">
      <w:pPr>
        <w:jc w:val="both"/>
        <w:rPr/>
      </w:pPr>
      <w:r w:rsidDel="00000000" w:rsidR="00000000" w:rsidRPr="00000000">
        <w:rPr>
          <w:rtl w:val="0"/>
        </w:rPr>
      </w:r>
    </w:p>
    <w:p w:rsidR="00000000" w:rsidDel="00000000" w:rsidP="00000000" w:rsidRDefault="00000000" w:rsidRPr="00000000" w14:paraId="00000047">
      <w:pPr>
        <w:jc w:val="both"/>
        <w:rPr/>
      </w:pPr>
      <w:r w:rsidDel="00000000" w:rsidR="00000000" w:rsidRPr="00000000">
        <w:rPr>
          <w:rtl w:val="0"/>
        </w:rPr>
      </w:r>
    </w:p>
    <w:p w:rsidR="00000000" w:rsidDel="00000000" w:rsidP="00000000" w:rsidRDefault="00000000" w:rsidRPr="00000000" w14:paraId="00000048">
      <w:pPr>
        <w:jc w:val="both"/>
        <w:rPr/>
      </w:pPr>
      <w:r w:rsidDel="00000000" w:rsidR="00000000" w:rsidRPr="00000000">
        <w:rPr>
          <w:rtl w:val="0"/>
        </w:rPr>
      </w:r>
    </w:p>
    <w:sectPr>
      <w:footerReference r:id="rId30" w:type="default"/>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9">
    <w:pPr>
      <w:spacing w:line="240" w:lineRule="auto"/>
      <w:ind w:hanging="850.3937007874016"/>
      <w:rPr>
        <w:sz w:val="16"/>
        <w:szCs w:val="16"/>
      </w:rPr>
    </w:pPr>
    <w:r w:rsidDel="00000000" w:rsidR="00000000" w:rsidRPr="00000000">
      <w:rPr>
        <w:sz w:val="16"/>
        <w:szCs w:val="16"/>
        <w:rtl w:val="0"/>
      </w:rPr>
      <w:t xml:space="preserve">V1.1 du 07/06/2026</w:t>
    </w:r>
  </w:p>
  <w:p w:rsidR="00000000" w:rsidDel="00000000" w:rsidP="00000000" w:rsidRDefault="00000000" w:rsidRPr="00000000" w14:paraId="0000004A">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fr"/>
      </w:rPr>
    </w:rPrDefault>
    <w:pPrDefault>
      <w:pPr>
        <w:spacing w:after="240" w:before="24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jc w:val="both"/>
    </w:pPr>
    <w:rPr>
      <w:b w:val="1"/>
      <w:bCs w:val="1"/>
      <w:sz w:val="34"/>
      <w:szCs w:val="34"/>
    </w:rPr>
  </w:style>
  <w:style w:type="paragraph" w:styleId="Heading2">
    <w:name w:val="heading 2"/>
    <w:basedOn w:val="Normal"/>
    <w:next w:val="Normal"/>
    <w:pPr>
      <w:keepNext w:val="1"/>
      <w:keepLines w:val="1"/>
      <w:spacing w:after="80" w:before="360" w:lineRule="auto"/>
    </w:pPr>
    <w:rPr>
      <w:rFonts w:ascii="Times New Roman" w:cs="Times New Roman" w:eastAsia="Times New Roman" w:hAnsi="Times New Roman"/>
      <w:b w:val="1"/>
      <w:bCs w:val="1"/>
      <w:i w:val="1"/>
      <w:iCs w:val="1"/>
      <w:sz w:val="28"/>
      <w:szCs w:val="28"/>
    </w:rPr>
  </w:style>
  <w:style w:type="paragraph" w:styleId="Heading3">
    <w:name w:val="heading 3"/>
    <w:basedOn w:val="Normal"/>
    <w:next w:val="Normal"/>
    <w:pPr>
      <w:keepNext w:val="1"/>
      <w:keepLines w:val="1"/>
      <w:spacing w:after="80" w:before="360" w:lineRule="auto"/>
    </w:pPr>
    <w:rPr>
      <w:b w:val="1"/>
      <w:bCs w:val="1"/>
      <w:sz w:val="26"/>
      <w:szCs w:val="26"/>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after="80" w:before="360" w:lineRule="auto"/>
    </w:pPr>
    <w:rPr>
      <w:rFonts w:ascii="Times New Roman" w:cs="Times New Roman" w:eastAsia="Times New Roman" w:hAnsi="Times New Roman"/>
      <w:b w:val="1"/>
      <w:bCs w:val="1"/>
      <w:sz w:val="34"/>
      <w:szCs w:val="34"/>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drive.google.com/open?id=1GJKC_YFCgEB6gx6uvA8ZDMIibgxzuwGy" TargetMode="External"/><Relationship Id="rId22" Type="http://schemas.openxmlformats.org/officeDocument/2006/relationships/hyperlink" Target="https://drive.google.com/open?id=157NXL1jDubne90bViH5_C5Tw38iwQgNP" TargetMode="External"/><Relationship Id="rId21" Type="http://schemas.openxmlformats.org/officeDocument/2006/relationships/hyperlink" Target="https://drive.google.com/open?id=1iJ-tnKzfRNViMqGlUGR71zV7kkQIQIdW" TargetMode="External"/><Relationship Id="rId24" Type="http://schemas.openxmlformats.org/officeDocument/2006/relationships/hyperlink" Target="https://drive.google.com/open?id=1OjVWWNX6BFvaJStKrnZ-4X9nMg3pXJsb" TargetMode="External"/><Relationship Id="rId23" Type="http://schemas.openxmlformats.org/officeDocument/2006/relationships/hyperlink" Target="https://drive.google.com/open?id=1uVqR6AbEtFEVhw8SeptJ-_xPOD4eMtiE"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google.com/document/d/1sOS98i76NDOlJn1qaUFncfifvzzvdHl-94oQA1fWS7E/edit?tab=t.0#heading=h.vfga1qnwye43" TargetMode="External"/><Relationship Id="rId26" Type="http://schemas.openxmlformats.org/officeDocument/2006/relationships/hyperlink" Target="https://drive.google.com/open?id=1DUtFDbjDhI-WkyaBmAH9jCSsGJL3tnXV" TargetMode="External"/><Relationship Id="rId25" Type="http://schemas.openxmlformats.org/officeDocument/2006/relationships/hyperlink" Target="https://drive.google.com/open?id=1bDKsDwkOncJkUeAlooNYGaTTyDZTxMR-" TargetMode="External"/><Relationship Id="rId28" Type="http://schemas.openxmlformats.org/officeDocument/2006/relationships/hyperlink" Target="https://docs.google.com/document/d/1f2kjjRqzkFJmgCd7JW_x09PFqn88woV5ew0UYGgt_Pc/edit?tab=t.0#heading=h.h21542fz41sb" TargetMode="External"/><Relationship Id="rId27" Type="http://schemas.openxmlformats.org/officeDocument/2006/relationships/hyperlink" Target="https://docs.google.com/document/d/1f2kjjRqzkFJmgCd7JW_x09PFqn88woV5ew0UYGgt_Pc/edit?tab=t.0#heading=h.uatcy361lkug" TargetMode="External"/><Relationship Id="rId5" Type="http://schemas.openxmlformats.org/officeDocument/2006/relationships/styles" Target="styles.xml"/><Relationship Id="rId6" Type="http://schemas.openxmlformats.org/officeDocument/2006/relationships/hyperlink" Target="https://docs.google.com/document/d/1f2kjjRqzkFJmgCd7JW_x09PFqn88woV5ew0UYGgt_Pc/edit?tab=t.0#heading=h.en06nlht7mtd" TargetMode="External"/><Relationship Id="rId29" Type="http://schemas.openxmlformats.org/officeDocument/2006/relationships/hyperlink" Target="https://docs.google.com/document/d/1sOS98i76NDOlJn1qaUFncfifvzzvdHl-94oQA1fWS7E/edit?tab=t.0#heading=h.3zikdp50hslq" TargetMode="External"/><Relationship Id="rId7" Type="http://schemas.openxmlformats.org/officeDocument/2006/relationships/hyperlink" Target="https://docs.google.com/document/d/1sOS98i76NDOlJn1qaUFncfifvzzvdHl-94oQA1fWS7E/edit?tab=t.0#heading=h.xjp6nnj5dxti" TargetMode="External"/><Relationship Id="rId8" Type="http://schemas.openxmlformats.org/officeDocument/2006/relationships/hyperlink" Target="https://docs.google.com/document/d/1sOS98i76NDOlJn1qaUFncfifvzzvdHl-94oQA1fWS7E/edit?tab=t.0#heading=h.dh3y9mlg7e7g" TargetMode="External"/><Relationship Id="rId30" Type="http://schemas.openxmlformats.org/officeDocument/2006/relationships/footer" Target="footer1.xml"/><Relationship Id="rId11" Type="http://schemas.openxmlformats.org/officeDocument/2006/relationships/hyperlink" Target="https://docs.google.com/document/d/1sOS98i76NDOlJn1qaUFncfifvzzvdHl-94oQA1fWS7E/edit?tab=t.0#heading=h.o086asot559i" TargetMode="External"/><Relationship Id="rId10" Type="http://schemas.openxmlformats.org/officeDocument/2006/relationships/hyperlink" Target="https://docs.google.com/document/d/1sOS98i76NDOlJn1qaUFncfifvzzvdHl-94oQA1fWS7E/edit?tab=t.0#heading=h.2khl8b2hvrhd" TargetMode="External"/><Relationship Id="rId13" Type="http://schemas.openxmlformats.org/officeDocument/2006/relationships/hyperlink" Target="https://docs.google.com/document/u/0/d/1rgwKX4GHLps26laOIs9f1qVbcQAA-CHcGOFraQYPQ9Q/edit" TargetMode="External"/><Relationship Id="rId12" Type="http://schemas.openxmlformats.org/officeDocument/2006/relationships/hyperlink" Target="https://docs.google.com/document/d/1sOS98i76NDOlJn1qaUFncfifvzzvdHl-94oQA1fWS7E/edit?tab=t.0#heading=h.alhsni5gqcq7" TargetMode="External"/><Relationship Id="rId15" Type="http://schemas.openxmlformats.org/officeDocument/2006/relationships/hyperlink" Target="https://docs.google.com/document/d/1sOS98i76NDOlJn1qaUFncfifvzzvdHl-94oQA1fWS7E/edit?tab=t.0#heading=h.3f2edbg8zgu4" TargetMode="External"/><Relationship Id="rId14" Type="http://schemas.openxmlformats.org/officeDocument/2006/relationships/hyperlink" Target="https://docs.google.com/document/u/0/d/1U4AvI0s-mhgWB1zQlWAvCGzj9Hw0xcNKZqBjyMWYabg/edit" TargetMode="External"/><Relationship Id="rId17" Type="http://schemas.openxmlformats.org/officeDocument/2006/relationships/hyperlink" Target="https://docs.google.com/document/d/1sOS98i76NDOlJn1qaUFncfifvzzvdHl-94oQA1fWS7E/edit?tab=t.0#heading=h.alhsni5gqcq7" TargetMode="External"/><Relationship Id="rId16" Type="http://schemas.openxmlformats.org/officeDocument/2006/relationships/hyperlink" Target="https://docs.google.com/document/d/1sOS98i76NDOlJn1qaUFncfifvzzvdHl-94oQA1fWS7E/edit?tab=t.0#heading=h.2khl8b2hvrhd" TargetMode="External"/><Relationship Id="rId19" Type="http://schemas.openxmlformats.org/officeDocument/2006/relationships/hyperlink" Target="https://docs.google.com/document/d/1sOS98i76NDOlJn1qaUFncfifvzzvdHl-94oQA1fWS7E/edit?tab=t.0#heading=h.8lzhb7es0ng" TargetMode="External"/><Relationship Id="rId18" Type="http://schemas.openxmlformats.org/officeDocument/2006/relationships/hyperlink" Target="https://docs.google.com/document/d/1sOS98i76NDOlJn1qaUFncfifvzzvdHl-94oQA1fWS7E/edit?tab=t.0#heading=h.2khl8b2hvrh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