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</w:t>
      </w:r>
    </w:p>
    <w:p>
      <w:r>
        <w:t xml:space="preserve">Texte </w:t>
      </w:r>
      <w:r>
        <w:rPr>
          <w:b/>
        </w:rPr>
        <w:t>gras</w:t>
      </w:r>
      <w:r>
        <w:t xml:space="preserve">, </w:t>
      </w:r>
      <w:r>
        <w:rPr>
          <w:i/>
        </w:rPr>
        <w:t>italique</w:t>
      </w:r>
      <w:r>
        <w:t xml:space="preserve">, </w:t>
      </w:r>
      <w:r>
        <w:rPr>
          <w:u w:val="single"/>
        </w:rPr>
        <w:t>souligné</w:t>
      </w:r>
      <w:r>
        <w:t xml:space="preserve">, </w:t>
      </w:r>
      <w:r>
        <w:rPr>
          <w:strike/>
        </w:rPr>
        <w:t>barré</w:t>
      </w:r>
      <w:r>
        <w:t xml:space="preserve">, </w:t>
      </w:r>
      <w:r>
        <w:rPr>
          <w:color w:val="E5484D"/>
        </w:rPr>
        <w:t>rouge</w:t>
      </w:r>
      <w:r>
        <w:t xml:space="preserve">, </w:t>
      </w:r>
      <w:r>
        <w:rPr>
          <w:highlight w:val="yellow"/>
        </w:rPr>
        <w:t>surligné</w:t>
      </w:r>
      <w:r>
        <w:t xml:space="preserve">, </w:t>
      </w:r>
      <w:r>
        <w:rPr>
          <w:sz w:val="36"/>
        </w:rPr>
        <w:t>grand</w:t>
      </w:r>
      <w:r>
        <w:t xml:space="preserve"> et </w:t>
      </w:r>
      <w:r>
        <w:rPr>
          <w:rFonts w:ascii="Courier New" w:hAnsi="Courier New"/>
        </w:rPr>
        <w:t>machine</w:t>
      </w:r>
      <w:r>
        <w:t>.</w:t>
      </w:r>
    </w:p>
    <w:p>
      <w:pPr>
        <w:jc w:val="center"/>
      </w:pPr>
      <w:r>
        <w:t>Paragraphe centré</w:t>
      </w:r>
    </w:p>
    <w:p>
      <w:pPr>
        <w:spacing w:line="480" w:lineRule="auto"/>
        <w:jc w:val="both"/>
      </w:pPr>
      <w:r>
        <w:t>Paragraphe justifié en double interligne</w:t>
      </w:r>
    </w:p>
    <w:p>
      <w:pPr>
        <w:pStyle w:val="Heading2"/>
      </w:pPr>
      <w:r>
        <w:t>Listes</w:t>
      </w:r>
    </w:p>
    <w:p>
      <w:pPr>
        <w:pStyle w:val="ListBullet"/>
      </w:pPr>
      <w:r>
        <w:t>pomme</w:t>
      </w:r>
    </w:p>
    <w:p>
      <w:pPr>
        <w:pStyle w:val="ListBullet"/>
      </w:pPr>
      <w:r>
        <w:t>poire</w:t>
      </w:r>
    </w:p>
    <w:p>
      <w:pPr>
        <w:pStyle w:val="ListNumber"/>
      </w:pPr>
      <w:r>
        <w:t>un</w:t>
      </w:r>
    </w:p>
    <w:p>
      <w:pPr>
        <w:pStyle w:val="ListNumber"/>
      </w:pPr>
      <w:r>
        <w:t>deux</w:t>
      </w:r>
    </w:p>
    <w:p>
      <w:r>
        <w:t>Ligne un</w:t>
      </w:r>
      <w:r>
        <w:br/>
      </w:r>
      <w:r>
        <w:t>Ligne deux</w:t>
      </w:r>
    </w:p>
    <w:p>
      <w:pPr>
        <w:pStyle w:val="Heading3"/>
      </w:pPr>
      <w:r>
        <w:t>Détails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A</w:t>
            </w:r>
          </w:p>
        </w:tc>
        <w:tc>
          <w:tcPr>
            <w:tcW w:type="dxa" w:w="4320"/>
          </w:tcPr>
          <w:p>
            <w:r>
              <w:t>Case B</w:t>
            </w:r>
          </w:p>
        </w:tc>
      </w:tr>
      <w:tr>
        <w:tc>
          <w:tcPr>
            <w:tcW w:type="dxa" w:w="4320"/>
          </w:tcPr>
          <w:p>
            <w:r>
              <w:t>Case C</w:t>
            </w:r>
          </w:p>
        </w:tc>
        <w:tc>
          <w:tcPr>
            <w:tcW w:type="dxa" w:w="4320"/>
          </w:tcPr>
          <w:p>
            <w:r>
              <w:t>Case 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me-essai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 du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interne ignoré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