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(Wagner, Regev, Yosef, Nat Biotchnology,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r w:rsidR="00195872">
        <w:rPr>
          <w:rFonts w:ascii="Arial" w:hAnsi="Arial"/>
          <w:sz w:val="22"/>
          <w:szCs w:val="22"/>
        </w:rPr>
        <w:t>C</w:t>
      </w:r>
      <w:r w:rsidR="00B1537B">
        <w:rPr>
          <w:rFonts w:ascii="Arial" w:hAnsi="Arial"/>
          <w:sz w:val="22"/>
          <w:szCs w:val="22"/>
        </w:rPr>
        <w:t>oGAPS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r w:rsidR="000001DD" w:rsidRPr="000001DD">
        <w:rPr>
          <w:rFonts w:ascii="Arial" w:hAnsi="Arial"/>
          <w:sz w:val="22"/>
          <w:szCs w:val="22"/>
          <w:highlight w:val="yellow"/>
        </w:rPr>
        <w:t>GWCoGAPS</w:t>
      </w:r>
      <w:r w:rsidR="000001DD">
        <w:rPr>
          <w:rFonts w:ascii="Arial" w:hAnsi="Arial"/>
          <w:sz w:val="22"/>
          <w:szCs w:val="22"/>
        </w:rPr>
        <w:t xml:space="preserve">) from static, bulk transcriptional data. </w:t>
      </w:r>
      <w:r w:rsidR="001277D5">
        <w:rPr>
          <w:rFonts w:ascii="Arial" w:hAnsi="Arial"/>
          <w:sz w:val="22"/>
          <w:szCs w:val="22"/>
        </w:rPr>
        <w:t>Preliminary data in single-cell RNA-sequencing has suggested that CoGAPS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CoGAPS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These approaches build upon gene-level parallelization of CoGAPS in GWCoGAPS (</w:t>
      </w:r>
      <w:r w:rsidR="00EE0F68" w:rsidRPr="00EE0F68">
        <w:rPr>
          <w:rFonts w:ascii="Arial" w:hAnsi="Arial"/>
          <w:sz w:val="22"/>
          <w:szCs w:val="22"/>
          <w:highlight w:val="yellow"/>
        </w:rPr>
        <w:t>CITE</w:t>
      </w:r>
      <w:r w:rsidR="00EE0F68">
        <w:rPr>
          <w:rFonts w:ascii="Arial" w:hAnsi="Arial"/>
          <w:sz w:val="22"/>
          <w:szCs w:val="22"/>
        </w:rPr>
        <w:t>) and modeling distributions of the sparsity hyperparameter in the CoGAPS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CoGAPS,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6E4CA03C"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225D60">
        <w:rPr>
          <w:rFonts w:ascii="Arial" w:hAnsi="Arial"/>
          <w:sz w:val="22"/>
          <w:szCs w:val="22"/>
        </w:rPr>
        <w:t xml:space="preserve">Similar to most NMF algorithms, </w:t>
      </w:r>
      <w:r w:rsidR="00F829A4">
        <w:rPr>
          <w:rFonts w:ascii="Arial" w:hAnsi="Arial"/>
          <w:sz w:val="22"/>
          <w:szCs w:val="22"/>
        </w:rPr>
        <w:t xml:space="preserve">CoGAPS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 xml:space="preserve">O(1000)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CoGAPS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gorithm called GWCoGAPS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omics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r w:rsidR="000014C8">
        <w:rPr>
          <w:rFonts w:ascii="Arial" w:hAnsi="Arial"/>
          <w:sz w:val="22"/>
          <w:szCs w:val="22"/>
        </w:rPr>
        <w:t>GWCoGAPS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B81FF0">
        <w:rPr>
          <w:rFonts w:ascii="Arial" w:hAnsi="Arial"/>
          <w:sz w:val="22"/>
          <w:szCs w:val="22"/>
        </w:rPr>
        <w:t>in</w:t>
      </w:r>
      <w:r w:rsidR="001B4257">
        <w:rPr>
          <w:rFonts w:ascii="Arial" w:hAnsi="Arial"/>
          <w:sz w:val="22"/>
          <w:szCs w:val="22"/>
        </w:rPr>
        <w:t xml:space="preserve"> sample groups</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omics data</w:t>
      </w:r>
      <w:bookmarkStart w:id="0" w:name="_GoBack"/>
      <w:bookmarkEnd w:id="0"/>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297896DB"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We have demonstrated that CoGAPS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CoGAPS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RNA-seq data </w:t>
      </w:r>
      <w:r w:rsidR="0088539D">
        <w:rPr>
          <w:rFonts w:ascii="Arial" w:hAnsi="Arial"/>
          <w:sz w:val="22"/>
          <w:szCs w:val="22"/>
        </w:rPr>
        <w:t>during</w:t>
      </w:r>
      <w:r w:rsidR="008731D0">
        <w:rPr>
          <w:rFonts w:ascii="Arial" w:hAnsi="Arial"/>
          <w:sz w:val="22"/>
          <w:szCs w:val="22"/>
        </w:rPr>
        <w:t xml:space="preserve"> retinal development.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0EBA89F4" w14:textId="2547BA7C" w:rsidR="00776BE4" w:rsidRDefault="0015441F" w:rsidP="003F6C18">
      <w:pPr>
        <w:rPr>
          <w:rFonts w:ascii="Arial" w:hAnsi="Arial"/>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r w:rsidR="00A77F2E">
        <w:rPr>
          <w:rFonts w:ascii="Arial" w:hAnsi="Arial"/>
          <w:sz w:val="22"/>
          <w:szCs w:val="22"/>
        </w:rPr>
        <w:t>With GWCoGAPS, we demonstrated that patterns from CoGAPS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O(1000)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584BB7">
        <w:rPr>
          <w:rFonts w:ascii="Arial" w:hAnsi="Arial"/>
          <w:sz w:val="22"/>
          <w:szCs w:val="22"/>
        </w:rPr>
        <w:t xml:space="preserve">the Human Cell Atlas. </w:t>
      </w:r>
      <w:r w:rsidR="00271458">
        <w:rPr>
          <w:rFonts w:ascii="Arial" w:hAnsi="Arial"/>
          <w:sz w:val="22"/>
          <w:szCs w:val="22"/>
        </w:rPr>
        <w:t xml:space="preserve">TIME COURSE DATA POSES ADDITIONAL CHALLENGES, REQUIRING REPRESENTATION FROM DIFFERENT STATES / DYNAMICS IN ORDER TO MODEL DEVELOPMENTAL TRAJECTORIES. </w:t>
      </w:r>
      <w:r w:rsidR="00DF05E5">
        <w:rPr>
          <w:rFonts w:ascii="Arial" w:hAnsi="Arial"/>
          <w:sz w:val="22"/>
          <w:szCs w:val="22"/>
        </w:rPr>
        <w:t>We</w:t>
      </w:r>
      <w:r w:rsidR="00127035">
        <w:rPr>
          <w:rFonts w:ascii="Arial" w:hAnsi="Arial"/>
          <w:sz w:val="22"/>
          <w:szCs w:val="22"/>
        </w:rPr>
        <w:t xml:space="preserve"> will address this challenge by parallelizing CoGAPS</w:t>
      </w:r>
      <w:r w:rsidR="00DF05E5">
        <w:rPr>
          <w:rFonts w:ascii="Arial" w:hAnsi="Arial"/>
          <w:sz w:val="22"/>
          <w:szCs w:val="22"/>
        </w:rPr>
        <w:t xml:space="preserve"> across both samples </w:t>
      </w:r>
      <w:r w:rsidR="00295390">
        <w:rPr>
          <w:rFonts w:ascii="Arial" w:hAnsi="Arial"/>
          <w:sz w:val="22"/>
          <w:szCs w:val="22"/>
        </w:rPr>
        <w:t>and genes</w:t>
      </w:r>
      <w:r w:rsidR="00BA2B71">
        <w:rPr>
          <w:rFonts w:ascii="Arial" w:hAnsi="Arial"/>
          <w:sz w:val="22"/>
          <w:szCs w:val="22"/>
        </w:rPr>
        <w:t xml:space="preserve">, </w:t>
      </w:r>
      <w:r w:rsidR="00295390">
        <w:rPr>
          <w:rFonts w:ascii="Arial" w:hAnsi="Arial"/>
          <w:sz w:val="22"/>
          <w:szCs w:val="22"/>
        </w:rPr>
        <w:t xml:space="preserve">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5EFE318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GTeX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GWCoGAPS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r w:rsidR="001B31B5">
        <w:rPr>
          <w:rFonts w:ascii="Arial" w:hAnsi="Arial"/>
          <w:sz w:val="22"/>
          <w:szCs w:val="22"/>
          <w:highlight w:val="yellow"/>
        </w:rPr>
        <w:t xml:space="preserve"> NOTE ASSESSING THIS ROBUSTNESS HAS BROADER IMPACTS FOR OTHER PATTERN DETECTION METHODS BEYOND COGAPS AND SIMILARITY IMPACTS FOR WHAT CAN BE COMPACTED IN THOSE METHODS. </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lastRenderedPageBreak/>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CoGAPS will be run in parallel for each set. During the MCMC iterations in CoGAPS,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r>
        <w:rPr>
          <w:rFonts w:ascii="Arial" w:hAnsi="Arial"/>
          <w:b/>
          <w:sz w:val="22"/>
          <w:szCs w:val="22"/>
        </w:rPr>
        <w:t xml:space="preserve">Pitfalls and proposed solutions.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2B84C41B"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contains a</w:t>
      </w:r>
      <w:r w:rsidR="003131F2">
        <w:rPr>
          <w:rFonts w:ascii="Arial" w:hAnsi="Arial"/>
          <w:sz w:val="22"/>
          <w:szCs w:val="22"/>
        </w:rPr>
        <w:t xml:space="preserve"> sparsity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r w:rsidR="00A50CC7">
        <w:rPr>
          <w:rFonts w:ascii="Arial" w:hAnsi="Arial"/>
          <w:sz w:val="22"/>
          <w:szCs w:val="22"/>
        </w:rPr>
        <w:t>hyperparameter will facilitate matrix factorization of both gene-leve</w:t>
      </w:r>
      <w:r w:rsidR="00C700FA">
        <w:rPr>
          <w:rFonts w:ascii="Arial" w:hAnsi="Arial"/>
          <w:sz w:val="22"/>
          <w:szCs w:val="22"/>
        </w:rPr>
        <w:t>l</w:t>
      </w:r>
      <w:r w:rsidR="00A50CC7">
        <w:rPr>
          <w:rFonts w:ascii="Arial" w:hAnsi="Arial"/>
          <w:sz w:val="22"/>
          <w:szCs w:val="22"/>
        </w:rPr>
        <w:t xml:space="preserve"> and transcript-level data</w:t>
      </w:r>
      <w:r w:rsidR="00374039">
        <w:rPr>
          <w:rFonts w:ascii="Arial" w:hAnsi="Arial"/>
          <w:sz w:val="22"/>
          <w:szCs w:val="22"/>
        </w:rPr>
        <w:t xml:space="preserve"> to infer isoform-specific patterns in future work in collaboration with consortia members</w:t>
      </w:r>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5D510B7F"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r w:rsidRPr="0025578B">
        <w:rPr>
          <w:rFonts w:ascii="Arial" w:hAnsi="Arial"/>
          <w:b/>
          <w:sz w:val="22"/>
          <w:szCs w:val="22"/>
          <w:highlight w:val="yellow"/>
        </w:rPr>
        <w:t>how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lastRenderedPageBreak/>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Bioarxiv</w:t>
      </w:r>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369DC79C" w14:textId="77777777" w:rsidR="009755F2" w:rsidRPr="009755F2" w:rsidRDefault="00A97A41" w:rsidP="009755F2">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9755F2" w:rsidRPr="009755F2">
        <w:rPr>
          <w:noProof/>
          <w:sz w:val="22"/>
        </w:rPr>
        <w:t>1</w:t>
      </w:r>
      <w:r w:rsidR="009755F2" w:rsidRPr="009755F2">
        <w:rPr>
          <w:rFonts w:ascii="Arial" w:hAnsi="Arial"/>
          <w:noProof/>
          <w:sz w:val="22"/>
        </w:rPr>
        <w:tab/>
        <w:t xml:space="preserve">Fertig EJ, Ding J, Favorov AV, Parmigiani G &amp; Ochs MF. CoGAPS: an R/C++ package to identify patterns and biological process activity in transcriptomic data. </w:t>
      </w:r>
      <w:r w:rsidR="009755F2" w:rsidRPr="009755F2">
        <w:rPr>
          <w:rFonts w:ascii="Arial" w:hAnsi="Arial"/>
          <w:i/>
          <w:noProof/>
          <w:sz w:val="22"/>
        </w:rPr>
        <w:t>Bioinformatics</w:t>
      </w:r>
      <w:r w:rsidR="009755F2" w:rsidRPr="009755F2">
        <w:rPr>
          <w:rFonts w:ascii="Arial" w:hAnsi="Arial"/>
          <w:noProof/>
          <w:sz w:val="22"/>
        </w:rPr>
        <w:t xml:space="preserve"> </w:t>
      </w:r>
      <w:r w:rsidR="009755F2" w:rsidRPr="009755F2">
        <w:rPr>
          <w:rFonts w:ascii="Arial" w:hAnsi="Arial"/>
          <w:b/>
          <w:noProof/>
          <w:sz w:val="22"/>
        </w:rPr>
        <w:t>26</w:t>
      </w:r>
      <w:r w:rsidR="009755F2" w:rsidRPr="009755F2">
        <w:rPr>
          <w:rFonts w:ascii="Arial" w:hAnsi="Arial"/>
          <w:noProof/>
          <w:sz w:val="22"/>
        </w:rPr>
        <w:t>, 2792-2793, (2010). PMC3025742.</w:t>
      </w:r>
    </w:p>
    <w:p w14:paraId="032B5A2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w:t>
      </w:r>
      <w:r w:rsidRPr="009755F2">
        <w:rPr>
          <w:rFonts w:ascii="Arial" w:hAnsi="Arial"/>
          <w:noProof/>
          <w:sz w:val="22"/>
        </w:rPr>
        <w:tab/>
        <w:t xml:space="preserve">Afsari B, Geman D &amp; Fertig EJ. Learning dysregulated pathways in cancers from differential variability analysis. </w:t>
      </w:r>
      <w:r w:rsidRPr="009755F2">
        <w:rPr>
          <w:rFonts w:ascii="Arial" w:hAnsi="Arial"/>
          <w:i/>
          <w:noProof/>
          <w:sz w:val="22"/>
        </w:rPr>
        <w:t>Cancer Inform</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61-67, (2014). PMC4218688.</w:t>
      </w:r>
    </w:p>
    <w:p w14:paraId="5DFBD270"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3</w:t>
      </w:r>
      <w:r w:rsidRPr="009755F2">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9755F2">
        <w:rPr>
          <w:rFonts w:ascii="Arial" w:hAnsi="Arial"/>
          <w:i/>
          <w:noProof/>
          <w:sz w:val="22"/>
        </w:rPr>
        <w:t>Cancer Biol Ther</w:t>
      </w:r>
      <w:r w:rsidRPr="009755F2">
        <w:rPr>
          <w:rFonts w:ascii="Arial" w:hAnsi="Arial"/>
          <w:noProof/>
          <w:sz w:val="22"/>
        </w:rPr>
        <w:t xml:space="preserve"> </w:t>
      </w:r>
      <w:r w:rsidRPr="009755F2">
        <w:rPr>
          <w:rFonts w:ascii="Arial" w:hAnsi="Arial"/>
          <w:b/>
          <w:noProof/>
          <w:sz w:val="22"/>
        </w:rPr>
        <w:t>16</w:t>
      </w:r>
      <w:r w:rsidRPr="009755F2">
        <w:rPr>
          <w:rFonts w:ascii="Arial" w:hAnsi="Arial"/>
          <w:noProof/>
          <w:sz w:val="22"/>
        </w:rPr>
        <w:t>, 1252-1258, (2015). PMC4623002.</w:t>
      </w:r>
    </w:p>
    <w:p w14:paraId="2F9C876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4</w:t>
      </w:r>
      <w:r w:rsidRPr="009755F2">
        <w:rPr>
          <w:rFonts w:ascii="Arial" w:hAnsi="Arial"/>
          <w:noProof/>
          <w:sz w:val="22"/>
        </w:rPr>
        <w:tab/>
        <w:t xml:space="preserve">Fertig EJ, Lee E, Pandey NB &amp; Popel AS. Analysis of gene expression of secreted factors associated with breast cancer metastases in breast cancer subtypes. </w:t>
      </w:r>
      <w:r w:rsidRPr="009755F2">
        <w:rPr>
          <w:rFonts w:ascii="Arial" w:hAnsi="Arial"/>
          <w:i/>
          <w:noProof/>
          <w:sz w:val="22"/>
        </w:rPr>
        <w:t>Sci Rep</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12133, (2015). PMC4648401.</w:t>
      </w:r>
    </w:p>
    <w:p w14:paraId="68BC110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5</w:t>
      </w:r>
      <w:r w:rsidRPr="009755F2">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e78127, (2013). PMC3817178.</w:t>
      </w:r>
    </w:p>
    <w:p w14:paraId="06FC21F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6</w:t>
      </w:r>
      <w:r w:rsidRPr="009755F2">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7</w:t>
      </w:r>
      <w:r w:rsidRPr="009755F2">
        <w:rPr>
          <w:rFonts w:ascii="Arial" w:hAnsi="Arial"/>
          <w:noProof/>
          <w:sz w:val="22"/>
        </w:rPr>
        <w:t>, 73845-73864, (2016). PMC5342018.</w:t>
      </w:r>
    </w:p>
    <w:p w14:paraId="575D04A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7</w:t>
      </w:r>
      <w:r w:rsidRPr="009755F2">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9755F2">
        <w:rPr>
          <w:rFonts w:ascii="Arial" w:hAnsi="Arial"/>
          <w:i/>
          <w:noProof/>
          <w:sz w:val="22"/>
        </w:rPr>
        <w:t>BMC Genomics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160, (2012). PMC3460736.</w:t>
      </w:r>
    </w:p>
    <w:p w14:paraId="10ABDC36"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8</w:t>
      </w:r>
      <w:r w:rsidRPr="009755F2">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9755F2">
        <w:rPr>
          <w:rFonts w:ascii="Arial" w:hAnsi="Arial"/>
          <w:i/>
          <w:noProof/>
          <w:sz w:val="22"/>
        </w:rPr>
        <w:t>Neoplasia</w:t>
      </w:r>
      <w:r w:rsidRPr="009755F2">
        <w:rPr>
          <w:rFonts w:ascii="Arial" w:hAnsi="Arial"/>
          <w:noProof/>
          <w:sz w:val="22"/>
        </w:rPr>
        <w:t xml:space="preserve"> </w:t>
      </w:r>
      <w:r w:rsidRPr="009755F2">
        <w:rPr>
          <w:rFonts w:ascii="Arial" w:hAnsi="Arial"/>
          <w:b/>
          <w:noProof/>
          <w:sz w:val="22"/>
        </w:rPr>
        <w:t>17</w:t>
      </w:r>
      <w:r w:rsidRPr="009755F2">
        <w:rPr>
          <w:rFonts w:ascii="Arial" w:hAnsi="Arial"/>
          <w:noProof/>
          <w:sz w:val="22"/>
        </w:rPr>
        <w:t>, 16-31, (2015). PMC4309734.</w:t>
      </w:r>
    </w:p>
    <w:p w14:paraId="3E931CD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9</w:t>
      </w:r>
      <w:r w:rsidRPr="009755F2">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9755F2">
        <w:rPr>
          <w:rFonts w:ascii="Arial" w:hAnsi="Arial"/>
          <w:i/>
          <w:noProof/>
          <w:sz w:val="22"/>
        </w:rPr>
        <w:t>Mol Cancer Res</w:t>
      </w:r>
      <w:r w:rsidRPr="009755F2">
        <w:rPr>
          <w:rFonts w:ascii="Arial" w:hAnsi="Arial"/>
          <w:noProof/>
          <w:sz w:val="22"/>
        </w:rPr>
        <w:t xml:space="preserve"> </w:t>
      </w:r>
      <w:r w:rsidRPr="009755F2">
        <w:rPr>
          <w:rFonts w:ascii="Arial" w:hAnsi="Arial"/>
          <w:b/>
          <w:noProof/>
          <w:sz w:val="22"/>
        </w:rPr>
        <w:t>11</w:t>
      </w:r>
      <w:r w:rsidRPr="009755F2">
        <w:rPr>
          <w:rFonts w:ascii="Arial" w:hAnsi="Arial"/>
          <w:noProof/>
          <w:sz w:val="22"/>
        </w:rPr>
        <w:t>, 1387-1400, (2013). PMC3833995.</w:t>
      </w:r>
    </w:p>
    <w:p w14:paraId="766F27E3"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10</w:t>
      </w:r>
      <w:r w:rsidRPr="009755F2">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137</w:t>
      </w:r>
      <w:r w:rsidRPr="009755F2">
        <w:rPr>
          <w:rFonts w:ascii="Arial" w:hAnsi="Arial"/>
          <w:noProof/>
          <w:sz w:val="22"/>
        </w:rPr>
        <w:t>, 1879-1889, (2015). PMC4629062.</w:t>
      </w:r>
    </w:p>
    <w:p w14:paraId="16AEC28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11</w:t>
      </w:r>
      <w:r w:rsidRPr="009755F2">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15349-15363, (2017). PMID 28146432, PMCID not available.</w:t>
      </w:r>
    </w:p>
    <w:p w14:paraId="66DF5BB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12</w:t>
      </w:r>
      <w:r w:rsidRPr="009755F2">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9755F2">
        <w:rPr>
          <w:rFonts w:ascii="Arial" w:hAnsi="Arial"/>
          <w:i/>
          <w:noProof/>
          <w:sz w:val="22"/>
        </w:rPr>
        <w:t>Epigenetics</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1031-1046, (2014). PMC4143405.</w:t>
      </w:r>
    </w:p>
    <w:p w14:paraId="4909F72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13</w:t>
      </w:r>
      <w:r w:rsidRPr="009755F2">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139</w:t>
      </w:r>
      <w:r w:rsidRPr="009755F2">
        <w:rPr>
          <w:rFonts w:ascii="Arial" w:hAnsi="Arial"/>
          <w:noProof/>
          <w:sz w:val="22"/>
        </w:rPr>
        <w:t>, 373-382, (2016). PMID 26949921, PMCID not available.</w:t>
      </w:r>
    </w:p>
    <w:p w14:paraId="16BC5B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14</w:t>
      </w:r>
      <w:r w:rsidRPr="009755F2">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9755F2">
        <w:rPr>
          <w:rFonts w:ascii="Arial" w:hAnsi="Arial"/>
          <w:i/>
          <w:noProof/>
          <w:sz w:val="22"/>
        </w:rPr>
        <w:t>Nat Methods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310-318, (2016). PMC4854847.</w:t>
      </w:r>
    </w:p>
    <w:p w14:paraId="67E964B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15</w:t>
      </w:r>
      <w:r w:rsidRPr="009755F2">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6</w:t>
      </w:r>
      <w:r w:rsidRPr="009755F2">
        <w:rPr>
          <w:rFonts w:ascii="Arial" w:hAnsi="Arial"/>
          <w:noProof/>
          <w:sz w:val="22"/>
        </w:rPr>
        <w:t>, 8258, (2015). PMC4595648.</w:t>
      </w:r>
    </w:p>
    <w:p w14:paraId="6C65DA4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16</w:t>
      </w:r>
      <w:r w:rsidRPr="009755F2">
        <w:rPr>
          <w:rFonts w:ascii="Arial" w:hAnsi="Arial"/>
          <w:noProof/>
          <w:sz w:val="22"/>
        </w:rPr>
        <w:tab/>
        <w:t xml:space="preserve">Lee E, Fertig EJ, Jin K, Sukumar S, Pandey NB &amp; Popel AS. Breast cancer cells condition lymphatic endothelial cells within pre-metastatic niches to promote metastasis.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4715, (2014). PMC4351998.</w:t>
      </w:r>
    </w:p>
    <w:p w14:paraId="4AE334A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17</w:t>
      </w:r>
      <w:r w:rsidRPr="009755F2">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e91263, (2014). PMC3967989.</w:t>
      </w:r>
    </w:p>
    <w:p w14:paraId="76F8231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18</w:t>
      </w:r>
      <w:r w:rsidRPr="009755F2">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9755F2">
        <w:rPr>
          <w:rFonts w:ascii="Arial" w:hAnsi="Arial"/>
          <w:i/>
          <w:noProof/>
          <w:sz w:val="22"/>
        </w:rPr>
        <w:t>Int J Oncol</w:t>
      </w:r>
      <w:r w:rsidRPr="009755F2">
        <w:rPr>
          <w:rFonts w:ascii="Arial" w:hAnsi="Arial"/>
          <w:noProof/>
          <w:sz w:val="22"/>
        </w:rPr>
        <w:t xml:space="preserve"> </w:t>
      </w:r>
      <w:r w:rsidRPr="009755F2">
        <w:rPr>
          <w:rFonts w:ascii="Arial" w:hAnsi="Arial"/>
          <w:b/>
          <w:noProof/>
          <w:sz w:val="22"/>
        </w:rPr>
        <w:t>49</w:t>
      </w:r>
      <w:r w:rsidRPr="009755F2">
        <w:rPr>
          <w:rFonts w:ascii="Arial" w:hAnsi="Arial"/>
          <w:noProof/>
          <w:sz w:val="22"/>
        </w:rPr>
        <w:t>, 225-234, (2016). PMC4902070.</w:t>
      </w:r>
    </w:p>
    <w:p w14:paraId="5EB18F5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19</w:t>
      </w:r>
      <w:r w:rsidRPr="009755F2">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9755F2">
        <w:rPr>
          <w:rFonts w:ascii="Arial" w:hAnsi="Arial"/>
          <w:i/>
          <w:noProof/>
          <w:sz w:val="22"/>
        </w:rPr>
        <w:t>Bioinformatics</w:t>
      </w:r>
      <w:r w:rsidRPr="009755F2">
        <w:rPr>
          <w:rFonts w:ascii="Arial" w:hAnsi="Arial"/>
          <w:noProof/>
          <w:sz w:val="22"/>
        </w:rPr>
        <w:t xml:space="preserve"> </w:t>
      </w:r>
      <w:r w:rsidRPr="009755F2">
        <w:rPr>
          <w:rFonts w:ascii="Arial" w:hAnsi="Arial"/>
          <w:b/>
          <w:noProof/>
          <w:sz w:val="22"/>
        </w:rPr>
        <w:t>30</w:t>
      </w:r>
      <w:r w:rsidRPr="009755F2">
        <w:rPr>
          <w:rFonts w:ascii="Arial" w:hAnsi="Arial"/>
          <w:noProof/>
          <w:sz w:val="22"/>
        </w:rPr>
        <w:t>, 2757-2763, (2014). PMC4173013.</w:t>
      </w:r>
    </w:p>
    <w:p w14:paraId="129291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20</w:t>
      </w:r>
      <w:r w:rsidRPr="009755F2">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9755F2">
        <w:rPr>
          <w:rFonts w:ascii="Arial" w:hAnsi="Arial"/>
          <w:i/>
          <w:noProof/>
          <w:sz w:val="22"/>
        </w:rPr>
        <w:t>Cancer Prev Res (Phila)</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265-274, (2016). PMC4818686.</w:t>
      </w:r>
    </w:p>
    <w:p w14:paraId="017E489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21</w:t>
      </w:r>
      <w:r w:rsidRPr="009755F2">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9755F2">
        <w:rPr>
          <w:rFonts w:ascii="Arial" w:hAnsi="Arial"/>
          <w:i/>
          <w:noProof/>
          <w:sz w:val="22"/>
        </w:rPr>
        <w:t>Cancer Res</w:t>
      </w:r>
      <w:r w:rsidRPr="009755F2">
        <w:rPr>
          <w:rFonts w:ascii="Arial" w:hAnsi="Arial"/>
          <w:noProof/>
          <w:sz w:val="22"/>
        </w:rPr>
        <w:t xml:space="preserve"> </w:t>
      </w:r>
      <w:r w:rsidRPr="009755F2">
        <w:rPr>
          <w:rFonts w:ascii="Arial" w:hAnsi="Arial"/>
          <w:b/>
          <w:noProof/>
          <w:sz w:val="22"/>
        </w:rPr>
        <w:t>74</w:t>
      </w:r>
      <w:r w:rsidRPr="009755F2">
        <w:rPr>
          <w:rFonts w:ascii="Arial" w:hAnsi="Arial"/>
          <w:noProof/>
          <w:sz w:val="22"/>
        </w:rPr>
        <w:t>, 1091-1104, (2014). PMC3944644.</w:t>
      </w:r>
    </w:p>
    <w:p w14:paraId="2E1C1E0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22</w:t>
      </w:r>
      <w:r w:rsidRPr="009755F2">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9755F2">
        <w:rPr>
          <w:rFonts w:ascii="Arial" w:hAnsi="Arial"/>
          <w:i/>
          <w:noProof/>
          <w:sz w:val="22"/>
        </w:rPr>
        <w:t>Oral Oncol</w:t>
      </w:r>
      <w:r w:rsidRPr="009755F2">
        <w:rPr>
          <w:rFonts w:ascii="Arial" w:hAnsi="Arial"/>
          <w:noProof/>
          <w:sz w:val="22"/>
        </w:rPr>
        <w:t xml:space="preserve"> </w:t>
      </w:r>
      <w:r w:rsidRPr="009755F2">
        <w:rPr>
          <w:rFonts w:ascii="Arial" w:hAnsi="Arial"/>
          <w:b/>
          <w:noProof/>
          <w:sz w:val="22"/>
        </w:rPr>
        <w:t>51</w:t>
      </w:r>
      <w:r w:rsidRPr="009755F2">
        <w:rPr>
          <w:rFonts w:ascii="Arial" w:hAnsi="Arial"/>
          <w:noProof/>
          <w:sz w:val="22"/>
        </w:rPr>
        <w:t>, 1120-1125, (2015). PMC4663116.</w:t>
      </w:r>
    </w:p>
    <w:p w14:paraId="0C9666CB"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23</w:t>
      </w:r>
      <w:r w:rsidRPr="009755F2">
        <w:rPr>
          <w:rFonts w:ascii="Arial" w:hAnsi="Arial"/>
          <w:noProof/>
          <w:sz w:val="22"/>
        </w:rPr>
        <w:tab/>
        <w:t xml:space="preserve">Fertig EJ, Stein-O'Brien G, Jaffe A &amp; Colantuoni C. Pattern identification in time-course gene expression data with the CoGAPS matrix factorization. </w:t>
      </w:r>
      <w:r w:rsidRPr="009755F2">
        <w:rPr>
          <w:rFonts w:ascii="Arial" w:hAnsi="Arial"/>
          <w:i/>
          <w:noProof/>
          <w:sz w:val="22"/>
        </w:rPr>
        <w:t>Methods Mol Biol</w:t>
      </w:r>
      <w:r w:rsidRPr="009755F2">
        <w:rPr>
          <w:rFonts w:ascii="Arial" w:hAnsi="Arial"/>
          <w:noProof/>
          <w:sz w:val="22"/>
        </w:rPr>
        <w:t xml:space="preserve"> </w:t>
      </w:r>
      <w:r w:rsidRPr="009755F2">
        <w:rPr>
          <w:rFonts w:ascii="Arial" w:hAnsi="Arial"/>
          <w:b/>
          <w:noProof/>
          <w:sz w:val="22"/>
        </w:rPr>
        <w:t>1101</w:t>
      </w:r>
      <w:r w:rsidRPr="009755F2">
        <w:rPr>
          <w:rFonts w:ascii="Arial" w:hAnsi="Arial"/>
          <w:noProof/>
          <w:sz w:val="22"/>
        </w:rPr>
        <w:t>, 87-112, (2014). PMID 24233779, PMCID not available.</w:t>
      </w:r>
    </w:p>
    <w:p w14:paraId="0885296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24</w:t>
      </w:r>
      <w:r w:rsidRPr="009755F2">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9755F2">
        <w:rPr>
          <w:rFonts w:ascii="Arial" w:hAnsi="Arial"/>
          <w:i/>
          <w:noProof/>
          <w:sz w:val="22"/>
        </w:rPr>
        <w:t>Bioinformatics</w:t>
      </w:r>
      <w:r w:rsidRPr="009755F2">
        <w:rPr>
          <w:rFonts w:ascii="Arial" w:hAnsi="Arial"/>
          <w:noProof/>
          <w:sz w:val="22"/>
        </w:rPr>
        <w:t>, (2017). PMID 28174896, PMCID not available.</w:t>
      </w:r>
    </w:p>
    <w:p w14:paraId="6A8E921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25</w:t>
      </w:r>
      <w:r w:rsidRPr="009755F2">
        <w:rPr>
          <w:rFonts w:ascii="Arial" w:hAnsi="Arial"/>
          <w:noProof/>
          <w:sz w:val="22"/>
        </w:rPr>
        <w:tab/>
        <w:t xml:space="preserve">de Campos CP, Rancoita PM, Kwee I, Zucca E, Zaffalon M &amp; Bertoni F. Discovering subgroups of patients from DNA copy number data using NMF on compacted matrices.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e79720, (2013). PMC3835832.</w:t>
      </w:r>
    </w:p>
    <w:p w14:paraId="67F3ED1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26</w:t>
      </w:r>
      <w:r w:rsidRPr="009755F2">
        <w:rPr>
          <w:rFonts w:ascii="Arial" w:hAnsi="Arial"/>
          <w:noProof/>
          <w:sz w:val="22"/>
        </w:rPr>
        <w:tab/>
        <w:t xml:space="preserve">Tepper M &amp; Sapiro G. Compressed Nonnegative Matrix Factorization Is Fast and Accurate. </w:t>
      </w:r>
      <w:r w:rsidRPr="009755F2">
        <w:rPr>
          <w:rFonts w:ascii="Arial" w:hAnsi="Arial"/>
          <w:i/>
          <w:noProof/>
          <w:sz w:val="22"/>
        </w:rPr>
        <w:t>IEEE Transactions on Signal Processing</w:t>
      </w:r>
      <w:r w:rsidRPr="009755F2">
        <w:rPr>
          <w:rFonts w:ascii="Arial" w:hAnsi="Arial"/>
          <w:noProof/>
          <w:sz w:val="22"/>
        </w:rPr>
        <w:t xml:space="preserve"> </w:t>
      </w:r>
      <w:r w:rsidRPr="009755F2">
        <w:rPr>
          <w:rFonts w:ascii="Arial" w:hAnsi="Arial"/>
          <w:b/>
          <w:noProof/>
          <w:sz w:val="22"/>
        </w:rPr>
        <w:t>64</w:t>
      </w:r>
      <w:r w:rsidRPr="009755F2">
        <w:rPr>
          <w:rFonts w:ascii="Arial" w:hAnsi="Arial"/>
          <w:noProof/>
          <w:sz w:val="22"/>
        </w:rPr>
        <w:t>, 2269-2283, (2016). PMID PMCID not available.</w:t>
      </w:r>
    </w:p>
    <w:p w14:paraId="637501CF" w14:textId="77777777" w:rsidR="009755F2" w:rsidRPr="009755F2" w:rsidRDefault="009755F2" w:rsidP="009755F2">
      <w:pPr>
        <w:pStyle w:val="EndNoteBibliography"/>
        <w:ind w:left="720" w:hanging="720"/>
        <w:rPr>
          <w:rFonts w:ascii="Arial" w:hAnsi="Arial"/>
          <w:noProof/>
          <w:sz w:val="22"/>
        </w:rPr>
      </w:pPr>
      <w:r w:rsidRPr="009755F2">
        <w:rPr>
          <w:noProof/>
          <w:sz w:val="22"/>
        </w:rPr>
        <w:t>27</w:t>
      </w:r>
      <w:r w:rsidRPr="009755F2">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9755F2">
        <w:rPr>
          <w:rFonts w:ascii="Arial" w:hAnsi="Arial"/>
          <w:i/>
          <w:noProof/>
          <w:sz w:val="22"/>
        </w:rPr>
        <w:t>bioRxiv</w:t>
      </w:r>
      <w:r w:rsidRPr="009755F2">
        <w:rPr>
          <w:rFonts w:ascii="Arial" w:hAnsi="Arial"/>
          <w:noProof/>
          <w:sz w:val="22"/>
        </w:rPr>
        <w:t>, (2017). PMID PMCID not available.</w:t>
      </w:r>
    </w:p>
    <w:p w14:paraId="66879008" w14:textId="48D30BB5"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41F08"/>
    <w:rsid w:val="00050207"/>
    <w:rsid w:val="0005074D"/>
    <w:rsid w:val="000557FB"/>
    <w:rsid w:val="00064DE9"/>
    <w:rsid w:val="00065606"/>
    <w:rsid w:val="000909F9"/>
    <w:rsid w:val="00094B20"/>
    <w:rsid w:val="00095D41"/>
    <w:rsid w:val="000A25F2"/>
    <w:rsid w:val="000B4089"/>
    <w:rsid w:val="000B6806"/>
    <w:rsid w:val="000C298E"/>
    <w:rsid w:val="000C2FB6"/>
    <w:rsid w:val="000C524F"/>
    <w:rsid w:val="000D07DF"/>
    <w:rsid w:val="000D105F"/>
    <w:rsid w:val="000D58EA"/>
    <w:rsid w:val="000D68D7"/>
    <w:rsid w:val="000D79D9"/>
    <w:rsid w:val="000E133C"/>
    <w:rsid w:val="000F53DE"/>
    <w:rsid w:val="00100524"/>
    <w:rsid w:val="001175FC"/>
    <w:rsid w:val="00127035"/>
    <w:rsid w:val="001277D5"/>
    <w:rsid w:val="00133B2C"/>
    <w:rsid w:val="001429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B2315"/>
    <w:rsid w:val="001B2AF5"/>
    <w:rsid w:val="001B2D2F"/>
    <w:rsid w:val="001B31B5"/>
    <w:rsid w:val="001B4257"/>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6F1"/>
    <w:rsid w:val="002231A9"/>
    <w:rsid w:val="00225D60"/>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59DF"/>
    <w:rsid w:val="00290F10"/>
    <w:rsid w:val="00294DDC"/>
    <w:rsid w:val="00294F9A"/>
    <w:rsid w:val="00295390"/>
    <w:rsid w:val="0029722A"/>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039"/>
    <w:rsid w:val="00374DDD"/>
    <w:rsid w:val="00380193"/>
    <w:rsid w:val="00397C0B"/>
    <w:rsid w:val="003A187C"/>
    <w:rsid w:val="003D7705"/>
    <w:rsid w:val="003E0345"/>
    <w:rsid w:val="003E2617"/>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433"/>
    <w:rsid w:val="00520D01"/>
    <w:rsid w:val="00525F2D"/>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44E1"/>
    <w:rsid w:val="00677FEA"/>
    <w:rsid w:val="006847E9"/>
    <w:rsid w:val="00685654"/>
    <w:rsid w:val="00693CF7"/>
    <w:rsid w:val="0069606E"/>
    <w:rsid w:val="006A7405"/>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708F6"/>
    <w:rsid w:val="00870A66"/>
    <w:rsid w:val="0087245B"/>
    <w:rsid w:val="008731D0"/>
    <w:rsid w:val="00880F6F"/>
    <w:rsid w:val="0088539D"/>
    <w:rsid w:val="00891366"/>
    <w:rsid w:val="0089471F"/>
    <w:rsid w:val="00897A4F"/>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2A7A"/>
    <w:rsid w:val="00A110A5"/>
    <w:rsid w:val="00A1267B"/>
    <w:rsid w:val="00A144C9"/>
    <w:rsid w:val="00A22621"/>
    <w:rsid w:val="00A22632"/>
    <w:rsid w:val="00A3396D"/>
    <w:rsid w:val="00A40A0D"/>
    <w:rsid w:val="00A42624"/>
    <w:rsid w:val="00A451A2"/>
    <w:rsid w:val="00A47463"/>
    <w:rsid w:val="00A4771A"/>
    <w:rsid w:val="00A47D5B"/>
    <w:rsid w:val="00A50CC7"/>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5F73"/>
    <w:rsid w:val="00C97897"/>
    <w:rsid w:val="00CA04CA"/>
    <w:rsid w:val="00CA34B0"/>
    <w:rsid w:val="00CB44A6"/>
    <w:rsid w:val="00CC38F8"/>
    <w:rsid w:val="00CC56A0"/>
    <w:rsid w:val="00CC7870"/>
    <w:rsid w:val="00CD3AC2"/>
    <w:rsid w:val="00CD3BB8"/>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453D"/>
    <w:rsid w:val="00E81F5E"/>
    <w:rsid w:val="00E926F4"/>
    <w:rsid w:val="00E97857"/>
    <w:rsid w:val="00EA42A3"/>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4068</Words>
  <Characters>23357</Characters>
  <Application>Microsoft Macintosh Word</Application>
  <DocSecurity>0</DocSecurity>
  <Lines>359</Lines>
  <Paragraphs>88</Paragraphs>
  <ScaleCrop>false</ScaleCrop>
  <Company>Sidney Kimmel Comprehensive Cancer Center, Johns Ho</Company>
  <LinksUpToDate>false</LinksUpToDate>
  <CharactersWithSpaces>27337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192</cp:revision>
  <dcterms:created xsi:type="dcterms:W3CDTF">2017-04-16T21:11:00Z</dcterms:created>
  <dcterms:modified xsi:type="dcterms:W3CDTF">2017-08-23T00:19:00Z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