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11827"/>
          <w:sz w:val="44"/>
          <w:szCs w:val="44"/>
        </w:rPr>
        <w:t xml:space="preserve">MedTech For Solutions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8B8B"/>
          <w:sz w:val="22"/>
          <w:szCs w:val="22"/>
        </w:rPr>
        <w:t xml:space="preserve">WEBSITE PROGRAM — DELIVERABLES REPORT</w:t>
      </w:r>
    </w:p>
    <w:p>
      <w:pPr>
        <w:spacing w:after="2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1"/>
          <w:szCs w:val="21"/>
        </w:rPr>
        <w:t xml:space="preserve">Prepared for client review  ·  July 18, 2026  ·  Status: </w:t>
      </w:r>
      <w:r>
        <w:rPr>
          <w:rFonts w:ascii="Calibri" w:cs="Calibri" w:eastAsia="Calibri" w:hAnsi="Calibri"/>
          <w:b/>
          <w:bCs/>
          <w:i w:val="false"/>
          <w:iCs w:val="false"/>
          <w:color w:val="006D6D"/>
          <w:sz w:val="21"/>
          <w:szCs w:val="21"/>
        </w:rPr>
        <w:t xml:space="preserve">All approved work delivered</w:t>
      </w:r>
    </w:p>
    <w:p>
      <w:pPr>
        <w:pBdr>
          <w:bottom w:val="single" w:color="C5D82D" w:sz="6"/>
        </w:pBdr>
        <w:spacing w:after="2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6D6D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This engagement converted the MedTech For Solutions website into two production-ready formats — a Search Atlas Website Studio static-HTML package and a Divi 5 WordPress package — while executing a client-approved content revision program across all pages. Every page was verified by automated pixel-comparison and live browser testing before packaging. This report inventories each deliverable, the content changes applied, the verification performed, and the items awaiting client action.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6D6D"/>
          <w:sz w:val="30"/>
          <w:szCs w:val="30"/>
        </w:rPr>
        <w:t xml:space="preserve">2. Deliverables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8B8B"/>
          <w:sz w:val="24"/>
          <w:szCs w:val="24"/>
        </w:rPr>
        <w:t xml:space="preserve">D1 — Search Atlas Website Studio HTML Package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File: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Medtech_Website_SearchAtlas_HTML_Upload.zip  (27 files, 20 pages)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Import-ready static site for Website Studio sync with WordPress. Includes all service, company, and legal pages, the mega-menu assets, sitemap, robots.txt, manifest, and the new Coming Soon page.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Corrections made during packaging: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Removed 34 staging noindex tags that would have blocked search indexing after launch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Removed 38 development-only scripts that produce errors on live hosting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Fixed the staff page location (staff/index.html) that previously caused the Website Studio import to fail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Repaired broken links (contact CTA, stylesheet reference) and registered all pages in the sitemap and manifest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8B8B"/>
          <w:sz w:val="24"/>
          <w:szCs w:val="24"/>
        </w:rPr>
        <w:t xml:space="preserve">D2 — Divi 5 WordPress Package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File: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MedTech_Divi5_Package.zip  (header, footer, global.css, 20 page modules, PDF, install guide)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Copy-paste Theme Builder components requiring no external files: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Global header with mega-menu panels, AI-powered site search (Ctrl/Cmd-K), phone and consultation CTAs, mobile menu, and WordPress admin-bar compatibility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Global footer with service, management, and company link columns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One consolidated global.css scoped so it cannot affect the WordPress admin or other theme areas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All 19 site pages as individual Code-module files, pixel-verified against the original site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README with step-by-step Theme Builder installation instructions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 live-site issue (header hidden behind page content) was diagnosed and fixed: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header now lifts itself out of Divi’s wrappers so no theme setting can trap it, and it offsets correctly below the WordPress admin bar.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8B8B"/>
          <w:sz w:val="24"/>
          <w:szCs w:val="24"/>
        </w:rPr>
        <w:t xml:space="preserve">D3 — “New Website Coming Soon” Landing Page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Files: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divi5/pages/coming-soon.html (Divi) and /coming-soon/ (static package)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Branded promotional splash with live countdown timer, notify-me email capture wired to the existing Search Atlas forms inbox, feature preview chips, and contact details. The launch date is set in one CONFIG line inside the page.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8B8B"/>
          <w:sz w:val="24"/>
          <w:szCs w:val="24"/>
        </w:rPr>
        <w:t xml:space="preserve">D4 — MedTech Solutions Overview (PDF)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1"/>
          <w:szCs w:val="21"/>
        </w:rPr>
        <w:t xml:space="preserve">File: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MedTech_Solutions_Overview.pdf  (one page, print-ready)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Client-facing services overview in the brand palette: laboratory solutions and practice/business support service cards, key figures (30+ labs and practices designed, 300+ IVF member practices, 1,800+ GPO vendor contracts), and contact information. Linked from the new homepage section via a placeholder until uploaded to the Media Library.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8B8B"/>
          <w:sz w:val="24"/>
          <w:szCs w:val="24"/>
        </w:rPr>
        <w:t xml:space="preserve">D5 — Content Revision Program (approved and applied)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All revisions below were approved during review and are live in both packages:</w:t>
      </w:r>
    </w:p>
    <w:tbl>
      <w:tblPr>
        <w:tblW w:type="dxa" w:w="9880"/>
        <w:tblBorders>
          <w:top w:val="single" w:color="E8EAED" w:sz="4"/>
          <w:left w:val="single" w:color="E8EAED" w:sz="4"/>
          <w:bottom w:val="single" w:color="E8EAED" w:sz="4"/>
          <w:right w:val="single" w:color="E8EAED" w:sz="4"/>
          <w:insideH w:val="single" w:color="E8EAED" w:sz="4"/>
          <w:insideV w:val="single" w:color="E8EAED" w:sz="4"/>
        </w:tblBorders>
      </w:tblPr>
      <w:tblGrid>
        <w:gridCol w:w="1500"/>
        <w:gridCol w:w="8380"/>
      </w:tblGrid>
      <w:tr>
        <w:trPr>
          <w:tblHeader/>
        </w:trPr>
        <w:tc>
          <w:tcPr>
            <w:tcW w:type="dxa" w:w="1500"/>
            <w:shd w:fill="11182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8380"/>
            <w:shd w:fill="11182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 applied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Homepage</w:t>
            </w:r>
          </w:p>
        </w:tc>
        <w:tc>
          <w:tcPr>
            <w:tcW w:type="dxa" w:w="83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Key Metrics card and metrics strip removed; hero simplified to single column; Real-Time Monitoring promotion removed; new “One Partner for the Laboratory and the Business of ART” overview section added with PDF download link</w:t>
            </w:r>
          </w:p>
        </w:tc>
      </w:tr>
      <w:tr>
        <w:tc>
          <w:tcPr>
            <w:tcW w:type="dxa" w:w="150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Trust badges</w:t>
            </w:r>
          </w:p>
        </w:tc>
        <w:tc>
          <w:tcPr>
            <w:tcW w:type="dxa" w:w="838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“HIPAA Compliant” reworded to “HIPAA-Aware Processes”; “FDA Ready” scoped to “FDA-Ready Lab Solutions”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Staffing page</w:t>
            </w:r>
          </w:p>
        </w:tc>
        <w:tc>
          <w:tcPr>
            <w:tcW w:type="dxa" w:w="83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Repositioned as temporary-only staffing (headings, copy, overview, structured data); 48-hour placement claim removed; biopsy and vitrification training services removed; positions list reduced to Embryologists and Laboratory Directors</w:t>
            </w:r>
          </w:p>
        </w:tc>
      </w:tr>
      <w:tr>
        <w:tc>
          <w:tcPr>
            <w:tcW w:type="dxa" w:w="150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838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Every remaining “temporary and permanent” staffing claim updated across home, about, staff, services hub, terms of service, page metadata, and site search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GPO page</w:t>
            </w:r>
          </w:p>
        </w:tc>
        <w:tc>
          <w:tcPr>
            <w:tcW w:type="dxa" w:w="83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Discount statement updated to “10% - 50% Cost Savings, depending on the situation” across the stat card, feature heading, body copy, structured data, and homepage FAQ</w:t>
            </w:r>
          </w:p>
        </w:tc>
      </w:tr>
      <w:tr>
        <w:tc>
          <w:tcPr>
            <w:tcW w:type="dxa" w:w="150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Practice development</w:t>
            </w:r>
          </w:p>
        </w:tc>
        <w:tc>
          <w:tcPr>
            <w:tcW w:type="dxa" w:w="838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Experience figures aligned at “30+ Labs &amp; Practices Designed” everywhere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Compliance page</w:t>
            </w:r>
          </w:p>
        </w:tc>
        <w:tc>
          <w:tcPr>
            <w:tcW w:type="dxa" w:w="83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No content changes; internal review-pending note added for Kathy’s sign-off</w:t>
            </w:r>
          </w:p>
        </w:tc>
      </w:tr>
      <w:tr>
        <w:tc>
          <w:tcPr>
            <w:tcW w:type="dxa" w:w="150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CTAs (site-wide)</w:t>
            </w:r>
          </w:p>
        </w:tc>
        <w:tc>
          <w:tcPr>
            <w:tcW w:type="dxa" w:w="838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32 buttons corrected: all consultation/inquiry CTAs now route to the contact page instead of email links; “View Pricing” became “Request Pricing”; one broken anchor on the staff page fixed; full launch-gate scan of all 71 CTAs completed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Navigation</w:t>
            </w:r>
          </w:p>
        </w:tc>
        <w:tc>
          <w:tcPr>
            <w:tcW w:type="dxa" w:w="83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Redundant “All Services” item removed from the main menu (desktop and mobile); services page remains reachable via menu panels and search</w:t>
            </w:r>
          </w:p>
        </w:tc>
      </w:tr>
      <w:tr>
        <w:tc>
          <w:tcPr>
            <w:tcW w:type="dxa" w:w="150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Phone / fax</w:t>
            </w:r>
          </w:p>
        </w:tc>
        <w:tc>
          <w:tcPr>
            <w:tcW w:type="dxa" w:w="838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Audit confirmed (866) 634-9144 as the voice line and (866) 482-5058 as fax, consistent in all 82 occurrences — no changes required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6D6D"/>
          <w:sz w:val="30"/>
          <w:szCs w:val="30"/>
        </w:rPr>
        <w:t xml:space="preserve">3. Quality Assurance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Every deliverable was verified in a real browser environment before packaging: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All 19 converted pages rendered beside the original site and pixel-compared at full page height — layouts match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Interactive behaviors exercised end-to-end: mega-menu panels, AI search results, mobile menu, countdown timer, form validation and error states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Every route and asset checked for broken references — zero 404s, zero JavaScript errors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Post-revision audit: zero stale claims (metrics, permanent staffing, old discount, 20+ labs) remain anywhere in either package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Structured data (JSON-LD) kept in agreement with visible copy on every edited page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6D6D"/>
          <w:sz w:val="30"/>
          <w:szCs w:val="30"/>
        </w:rPr>
        <w:t xml:space="preserve">4. Items Awaiting Client Action</w:t>
      </w:r>
    </w:p>
    <w:tbl>
      <w:tblPr>
        <w:tblW w:type="dxa" w:w="9880"/>
        <w:tblBorders>
          <w:top w:val="single" w:color="E8EAED" w:sz="4"/>
          <w:left w:val="single" w:color="E8EAED" w:sz="4"/>
          <w:bottom w:val="single" w:color="E8EAED" w:sz="4"/>
          <w:right w:val="single" w:color="E8EAED" w:sz="4"/>
          <w:insideH w:val="single" w:color="E8EAED" w:sz="4"/>
          <w:insideV w:val="single" w:color="E8EAED" w:sz="4"/>
        </w:tblBorders>
      </w:tblPr>
      <w:tblGrid>
        <w:gridCol w:w="3200"/>
        <w:gridCol w:w="6680"/>
      </w:tblGrid>
      <w:tr>
        <w:trPr>
          <w:tblHeader/>
        </w:trPr>
        <w:tc>
          <w:tcPr>
            <w:tcW w:type="dxa" w:w="3200"/>
            <w:shd w:fill="11182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80"/>
            <w:shd w:fill="11182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needed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PDF download link</w:t>
            </w:r>
          </w:p>
        </w:tc>
        <w:tc>
          <w:tcPr>
            <w:tcW w:type="dxa" w:w="6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Upload MedTech_Solutions_Overview.pdf to the WordPress Media Library and replace the “#” placeholder link in the homepage overview section (marked with a TODO comment)</w:t>
            </w:r>
          </w:p>
        </w:tc>
      </w:tr>
      <w:tr>
        <w:tc>
          <w:tcPr>
            <w:tcW w:type="dxa" w:w="320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Compliance page</w:t>
            </w:r>
          </w:p>
        </w:tc>
        <w:tc>
          <w:tcPr>
            <w:tcW w:type="dxa" w:w="668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Kathy to review and sign off on regulatory compliance claims before launch (tracked by an internal note on the page)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Real-Time Monitoring</w:t>
            </w:r>
          </w:p>
        </w:tc>
        <w:tc>
          <w:tcPr>
            <w:tcW w:type="dxa" w:w="6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Decide whether the service line is retired site-wide; its page, menu entry, and FAQ mention remain live pending this decision</w:t>
            </w:r>
          </w:p>
        </w:tc>
      </w:tr>
      <w:tr>
        <w:tc>
          <w:tcPr>
            <w:tcW w:type="dxa" w:w="320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Coming Soon launch date</w:t>
            </w:r>
          </w:p>
        </w:tc>
        <w:tc>
          <w:tcPr>
            <w:tcW w:type="dxa" w:w="668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Confirm the go-live date; currently set to August 3, 2026 in the page CONFIG line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Page titles &amp; metadata</w:t>
            </w:r>
          </w:p>
        </w:tc>
        <w:tc>
          <w:tcPr>
            <w:tcW w:type="dxa" w:w="6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When installing the Divi pages, set each page’s title/meta in WordPress using the values preserved in the static package</w:t>
            </w:r>
          </w:p>
        </w:tc>
      </w:tr>
      <w:tr>
        <w:tc>
          <w:tcPr>
            <w:tcW w:type="dxa" w:w="320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Phone routing (future)</w:t>
            </w:r>
          </w:p>
        </w:tc>
        <w:tc>
          <w:tcPr>
            <w:tcW w:type="dxa" w:w="668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Planned lead-qualification / concierge phone flow noted as a follow-up integration — out of scope for this phase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6D6D"/>
          <w:sz w:val="30"/>
          <w:szCs w:val="30"/>
        </w:rPr>
        <w:t xml:space="preserve">5. File Manifest</w:t>
      </w:r>
    </w:p>
    <w:tbl>
      <w:tblPr>
        <w:tblW w:type="dxa" w:w="9880"/>
        <w:tblBorders>
          <w:top w:val="single" w:color="E8EAED" w:sz="4"/>
          <w:left w:val="single" w:color="E8EAED" w:sz="4"/>
          <w:bottom w:val="single" w:color="E8EAED" w:sz="4"/>
          <w:right w:val="single" w:color="E8EAED" w:sz="4"/>
          <w:insideH w:val="single" w:color="E8EAED" w:sz="4"/>
          <w:insideV w:val="single" w:color="E8EAED" w:sz="4"/>
        </w:tblBorders>
      </w:tblPr>
      <w:tblGrid>
        <w:gridCol w:w="4650"/>
        <w:gridCol w:w="5230"/>
      </w:tblGrid>
      <w:tr>
        <w:trPr>
          <w:tblHeader/>
        </w:trPr>
        <w:tc>
          <w:tcPr>
            <w:tcW w:type="dxa" w:w="4650"/>
            <w:shd w:fill="11182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230"/>
            <w:shd w:fill="11182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Medtech_Website_SearchAtlas_HTML_Upload.zip</w:t>
            </w:r>
          </w:p>
        </w:tc>
        <w:tc>
          <w:tcPr>
            <w:tcW w:type="dxa" w:w="5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Final static site for Search Atlas Website Studio upload (27 files, 20 pages)</w:t>
            </w:r>
          </w:p>
        </w:tc>
      </w:tr>
      <w:tr>
        <w:tc>
          <w:tcPr>
            <w:tcW w:type="dxa" w:w="465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MedTech_Divi5_Package.zip</w:t>
            </w:r>
          </w:p>
        </w:tc>
        <w:tc>
          <w:tcPr>
            <w:tcW w:type="dxa" w:w="523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Complete Divi 5 package: header, footer, global.css, pages/, README, PDF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divi5/header-mega-menu.html</w:t>
            </w:r>
          </w:p>
        </w:tc>
        <w:tc>
          <w:tcPr>
            <w:tcW w:type="dxa" w:w="5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Global Header Theme Builder module</w:t>
            </w:r>
          </w:p>
        </w:tc>
      </w:tr>
      <w:tr>
        <w:tc>
          <w:tcPr>
            <w:tcW w:type="dxa" w:w="465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divi5/footer.html</w:t>
            </w:r>
          </w:p>
        </w:tc>
        <w:tc>
          <w:tcPr>
            <w:tcW w:type="dxa" w:w="523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Global Footer Theme Builder module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divi5/global.css</w:t>
            </w:r>
          </w:p>
        </w:tc>
        <w:tc>
          <w:tcPr>
            <w:tcW w:type="dxa" w:w="5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Consolidated site stylesheet (Theme Options or child theme)</w:t>
            </w:r>
          </w:p>
        </w:tc>
      </w:tr>
      <w:tr>
        <w:tc>
          <w:tcPr>
            <w:tcW w:type="dxa" w:w="465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divi5/pages/  (20 files)</w:t>
            </w:r>
          </w:p>
        </w:tc>
        <w:tc>
          <w:tcPr>
            <w:tcW w:type="dxa" w:w="523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Per-page Code-module HTML, including coming-soon.html</w:t>
            </w:r>
          </w:p>
        </w:tc>
      </w:tr>
      <w:tr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divi5/MedTech_Solutions_Overview.pdf</w:t>
            </w:r>
          </w:p>
        </w:tc>
        <w:tc>
          <w:tcPr>
            <w:tcW w:type="dxa" w:w="5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Branded one-page services overview for prospects</w:t>
            </w:r>
          </w:p>
        </w:tc>
      </w:tr>
      <w:tr>
        <w:tc>
          <w:tcPr>
            <w:tcW w:type="dxa" w:w="465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divi5/README.md</w:t>
            </w:r>
          </w:p>
        </w:tc>
        <w:tc>
          <w:tcPr>
            <w:tcW w:type="dxa" w:w="5230"/>
            <w:shd w:fill="F4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Installation and editing guide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</w:t>
      </w:r>
    </w:p>
    <w:p>
      <w:pPr>
        <w:pBdr>
          <w:bottom w:val="single" w:color="C5D82D" w:sz="6"/>
        </w:pBd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4B5563"/>
          <w:sz w:val="19"/>
          <w:szCs w:val="19"/>
        </w:rPr>
        <w:t xml:space="preserve">Repository: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19"/>
          <w:szCs w:val="19"/>
        </w:rPr>
        <w:t xml:space="preserve">github.com/FertileRank/test — branch claude/search-atlas-html-upload-00d5dj (PR #21). Full change history, diffs, and prior review reports are preserved in the pull request.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2026-07-18T17:43:49.914Z</dcterms:created>
  <dcterms:modified xsi:type="dcterms:W3CDTF">2026-07-18T17:43:49.914Z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