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42AA" w:rsidRDefault="005D4C31" w:rsidP="00ED01F8">
      <w:pPr>
        <w:pStyle w:val="Title"/>
        <w:jc w:val="both"/>
        <w:rPr>
          <w:lang w:val="nb-NO"/>
        </w:rPr>
      </w:pPr>
      <w:proofErr w:type="spellStart"/>
      <w:r>
        <w:rPr>
          <w:lang w:val="nb-NO"/>
        </w:rPr>
        <w:t>Charging</w:t>
      </w:r>
      <w:proofErr w:type="spellEnd"/>
      <w:r>
        <w:rPr>
          <w:lang w:val="nb-NO"/>
        </w:rPr>
        <w:t xml:space="preserve"> </w:t>
      </w:r>
      <w:proofErr w:type="spellStart"/>
      <w:r>
        <w:rPr>
          <w:lang w:val="nb-NO"/>
        </w:rPr>
        <w:t>Statistics</w:t>
      </w:r>
      <w:proofErr w:type="spellEnd"/>
    </w:p>
    <w:p w:rsidR="005D4C31" w:rsidRDefault="005D4C31" w:rsidP="00ED01F8">
      <w:pPr>
        <w:jc w:val="both"/>
        <w:rPr>
          <w:lang w:val="nb-NO"/>
        </w:rPr>
      </w:pPr>
    </w:p>
    <w:p w:rsidR="005D4C31" w:rsidRDefault="005D4C31" w:rsidP="00ED01F8">
      <w:pPr>
        <w:pStyle w:val="Heading1"/>
        <w:jc w:val="both"/>
        <w:rPr>
          <w:lang w:val="nb-NO"/>
        </w:rPr>
      </w:pPr>
      <w:proofErr w:type="spellStart"/>
      <w:r>
        <w:rPr>
          <w:lang w:val="nb-NO"/>
        </w:rPr>
        <w:t>Introduction</w:t>
      </w:r>
      <w:proofErr w:type="spellEnd"/>
    </w:p>
    <w:p w:rsidR="005D4C31" w:rsidRPr="005D4C31" w:rsidRDefault="005D4C31" w:rsidP="00ED01F8">
      <w:pPr>
        <w:jc w:val="both"/>
      </w:pPr>
      <w:r w:rsidRPr="005D4C31">
        <w:t>He</w:t>
      </w:r>
      <w:r>
        <w:t xml:space="preserve">re </w:t>
      </w:r>
      <w:r w:rsidRPr="005D4C31">
        <w:t>I</w:t>
      </w:r>
      <w:r>
        <w:t xml:space="preserve"> examine how electric vehicles affect peaks in power consumption. By exploring the time and frequency of </w:t>
      </w:r>
      <w:proofErr w:type="spellStart"/>
      <w:r>
        <w:t>chargings</w:t>
      </w:r>
      <w:proofErr w:type="spellEnd"/>
      <w:r>
        <w:t xml:space="preserve"> as well as their correlation with power usage peaks, it is the goal of this section to shed some light on the pressures electric vehicles assert on the grid.</w:t>
      </w:r>
    </w:p>
    <w:p w:rsidR="005D4C31" w:rsidRDefault="00990845" w:rsidP="00ED01F8">
      <w:pPr>
        <w:pStyle w:val="Heading1"/>
        <w:jc w:val="both"/>
        <w:rPr>
          <w:lang w:val="nb-NO"/>
        </w:rPr>
      </w:pPr>
      <w:r>
        <w:rPr>
          <w:lang w:val="nb-NO"/>
        </w:rPr>
        <w:t>Timing</w:t>
      </w:r>
    </w:p>
    <w:p w:rsidR="00990845" w:rsidRPr="00990845" w:rsidRDefault="00990845" w:rsidP="00990845">
      <w:pPr>
        <w:pStyle w:val="Heading2"/>
        <w:rPr>
          <w:lang w:val="nb-NO"/>
        </w:rPr>
      </w:pPr>
      <w:r>
        <w:rPr>
          <w:lang w:val="nb-NO"/>
        </w:rPr>
        <w:t xml:space="preserve">Time </w:t>
      </w:r>
      <w:proofErr w:type="spellStart"/>
      <w:r>
        <w:rPr>
          <w:lang w:val="nb-NO"/>
        </w:rPr>
        <w:t>of</w:t>
      </w:r>
      <w:proofErr w:type="spellEnd"/>
      <w:r>
        <w:rPr>
          <w:lang w:val="nb-NO"/>
        </w:rPr>
        <w:t xml:space="preserve"> </w:t>
      </w:r>
      <w:proofErr w:type="spellStart"/>
      <w:r>
        <w:rPr>
          <w:lang w:val="nb-NO"/>
        </w:rPr>
        <w:t>day</w:t>
      </w:r>
      <w:proofErr w:type="spellEnd"/>
    </w:p>
    <w:p w:rsidR="0026179D" w:rsidRDefault="00C47F1B" w:rsidP="00ED01F8">
      <w:pPr>
        <w:jc w:val="both"/>
        <w:rPr>
          <w:noProof/>
        </w:rPr>
      </w:pPr>
      <w:r>
        <w:t>Figure 1 shows the number of charging events in the data which coincide with each hour of the day. T</w:t>
      </w:r>
      <w:r w:rsidR="005760E8">
        <w:t xml:space="preserve">here are two </w:t>
      </w:r>
      <w:r>
        <w:t>distinct peaks. The morning peak between 0200 and 0500 drops off sharply between 0500 and 0600. The afternoon peak is less dramatic, peaking relatively quickly after 1500, then decreasing gradually from 1900 out.</w:t>
      </w:r>
      <w:r w:rsidR="0026179D" w:rsidRPr="0026179D">
        <w:rPr>
          <w:noProof/>
        </w:rPr>
        <w:t xml:space="preserve"> </w:t>
      </w:r>
    </w:p>
    <w:p w:rsidR="00ED01F8" w:rsidRDefault="0026179D" w:rsidP="00ED01F8">
      <w:pPr>
        <w:jc w:val="both"/>
      </w:pPr>
      <w:r>
        <w:rPr>
          <w:noProof/>
        </w:rPr>
        <mc:AlternateContent>
          <mc:Choice Requires="wps">
            <w:drawing>
              <wp:inline distT="0" distB="0" distL="0" distR="0" wp14:anchorId="37DDD12B" wp14:editId="53AE2008">
                <wp:extent cx="2590165" cy="304800"/>
                <wp:effectExtent l="0" t="0" r="635" b="0"/>
                <wp:docPr id="22" name="Text Box 22"/>
                <wp:cNvGraphicFramePr/>
                <a:graphic xmlns:a="http://schemas.openxmlformats.org/drawingml/2006/main">
                  <a:graphicData uri="http://schemas.microsoft.com/office/word/2010/wordprocessingShape">
                    <wps:wsp>
                      <wps:cNvSpPr txBox="1"/>
                      <wps:spPr>
                        <a:xfrm>
                          <a:off x="0" y="0"/>
                          <a:ext cx="2590165" cy="304800"/>
                        </a:xfrm>
                        <a:prstGeom prst="rect">
                          <a:avLst/>
                        </a:prstGeom>
                        <a:solidFill>
                          <a:prstClr val="white"/>
                        </a:solidFill>
                        <a:ln>
                          <a:noFill/>
                        </a:ln>
                      </wps:spPr>
                      <wps:txbx>
                        <w:txbxContent>
                          <w:p w:rsidR="0026179D" w:rsidRPr="0088010D" w:rsidRDefault="0026179D" w:rsidP="0026179D">
                            <w:pPr>
                              <w:pStyle w:val="Caption"/>
                              <w:jc w:val="center"/>
                              <w:rPr>
                                <w:noProof/>
                              </w:rPr>
                            </w:pPr>
                            <w:r w:rsidRPr="0088010D">
                              <w:t xml:space="preserve">Figure </w:t>
                            </w:r>
                            <w:r>
                              <w:t>1:  The number of charging signatures in the data which are active at each hour of the day.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37DDD12B" id="_x0000_t202" coordsize="21600,21600" o:spt="202" path="m,l,21600r21600,l21600,xe">
                <v:stroke joinstyle="miter"/>
                <v:path gradientshapeok="t" o:connecttype="rect"/>
              </v:shapetype>
              <v:shape id="Text Box 22" o:spid="_x0000_s1026" type="#_x0000_t202" style="width:203.9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" stroked="f">
                <v:textbox inset="0,0,0,0">
                  <w:txbxContent>
                    <w:p w:rsidR="0026179D" w:rsidRPr="0088010D" w:rsidRDefault="0026179D" w:rsidP="0026179D">
                      <w:pPr>
                        <w:pStyle w:val="Caption"/>
                        <w:jc w:val="center"/>
                        <w:rPr>
                          <w:noProof/>
                        </w:rPr>
                      </w:pPr>
                      <w:r w:rsidRPr="0088010D">
                        <w:t xml:space="preserve">Figure </w:t>
                      </w:r>
                      <w:r>
                        <w:t>1:  The number of charging signatures in the data which are active at each hour of the day.</w:t>
                      </w:r>
                    </w:p>
                  </w:txbxContent>
                </v:textbox>
                <w10:anchorlock/>
              </v:shape>
            </w:pict>
          </mc:Fallback>
        </mc:AlternateContent>
      </w:r>
      <w:r w:rsidR="00FD426C">
        <w:rPr>
          <w:noProof/>
        </w:rPr>
        <w:drawing>
          <wp:inline distT="0" distB="0" distL="0" distR="0" wp14:anchorId="7BB86AFA" wp14:editId="6CECED55">
            <wp:extent cx="2937510" cy="1958340"/>
            <wp:effectExtent l="0" t="0" r="0" b="381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V-charging-times.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937510" cy="1958340"/>
                    </a:xfrm>
                    <a:prstGeom prst="rect">
                      <a:avLst/>
                    </a:prstGeom>
                  </pic:spPr>
                </pic:pic>
              </a:graphicData>
            </a:graphic>
          </wp:inline>
        </w:drawing>
      </w:r>
    </w:p>
    <w:p w:rsidR="0026179D" w:rsidRDefault="00FD426C" w:rsidP="00ED01F8">
      <w:pPr>
        <w:jc w:val="both"/>
        <w:rPr>
          <w:noProof/>
        </w:rPr>
      </w:pPr>
      <w:r>
        <w:t>The afternoon peak and prenoon valley correspond well with expectation: People charge their cars after they come home from work. The even larger pre-morning peak is more surprising but is likely due to programmed charging devices charging the car before the workday.</w:t>
      </w:r>
      <w:r w:rsidR="003E7559">
        <w:t xml:space="preserve"> When looking at the most common charging time per household in figure 2, the pre-noon valley </w:t>
      </w:r>
      <w:r w:rsidR="003E7559">
        <w:t>becomes even more distinct. Additionally, the afternoon peak is split into an afternoon peak around 1700 and an evening peak around 2100.</w:t>
      </w:r>
      <w:r w:rsidR="0026179D" w:rsidRPr="0026179D">
        <w:rPr>
          <w:noProof/>
        </w:rPr>
        <w:t xml:space="preserve"> </w:t>
      </w:r>
    </w:p>
    <w:p w:rsidR="003E7559" w:rsidRPr="005760E8" w:rsidRDefault="0026179D" w:rsidP="00ED01F8">
      <w:pPr>
        <w:jc w:val="both"/>
      </w:pPr>
      <w:r>
        <w:rPr>
          <w:noProof/>
        </w:rPr>
        <mc:AlternateContent>
          <mc:Choice Requires="wps">
            <w:drawing>
              <wp:inline distT="0" distB="0" distL="0" distR="0" wp14:anchorId="12E675EC" wp14:editId="2E469343">
                <wp:extent cx="2590165" cy="350520"/>
                <wp:effectExtent l="0" t="0" r="635" b="0"/>
                <wp:docPr id="6" name="Text Box 6"/>
                <wp:cNvGraphicFramePr/>
                <a:graphic xmlns:a="http://schemas.openxmlformats.org/drawingml/2006/main">
                  <a:graphicData uri="http://schemas.microsoft.com/office/word/2010/wordprocessingShape">
                    <wps:wsp>
                      <wps:cNvSpPr txBox="1"/>
                      <wps:spPr>
                        <a:xfrm>
                          <a:off x="0" y="0"/>
                          <a:ext cx="2590165" cy="350520"/>
                        </a:xfrm>
                        <a:prstGeom prst="rect">
                          <a:avLst/>
                        </a:prstGeom>
                        <a:solidFill>
                          <a:prstClr val="white"/>
                        </a:solidFill>
                        <a:ln>
                          <a:noFill/>
                        </a:ln>
                      </wps:spPr>
                      <wps:txbx>
                        <w:txbxContent>
                          <w:p w:rsidR="0026179D" w:rsidRPr="0088010D" w:rsidRDefault="0026179D" w:rsidP="0026179D">
                            <w:pPr>
                              <w:pStyle w:val="Caption"/>
                              <w:jc w:val="center"/>
                              <w:rPr>
                                <w:noProof/>
                              </w:rPr>
                            </w:pPr>
                            <w:r w:rsidRPr="0088010D">
                              <w:t xml:space="preserve">Figure </w:t>
                            </w:r>
                            <w:r>
                              <w:t>2:  The distribution of the mode charging time of day for each household in the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2E675EC" id="Text Box 6" o:spid="_x0000_s1027" type="#_x0000_t202" style="width:203.95pt;height:2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" stroked="f">
                <v:textbox inset="0,0,0,0">
                  <w:txbxContent>
                    <w:p w:rsidR="0026179D" w:rsidRPr="0088010D" w:rsidRDefault="0026179D" w:rsidP="0026179D">
                      <w:pPr>
                        <w:pStyle w:val="Caption"/>
                        <w:jc w:val="center"/>
                        <w:rPr>
                          <w:noProof/>
                        </w:rPr>
                      </w:pPr>
                      <w:r w:rsidRPr="0088010D">
                        <w:t xml:space="preserve">Figure </w:t>
                      </w:r>
                      <w:r>
                        <w:t>2:  The distribution of the mode charging time of day for each household in the data.</w:t>
                      </w:r>
                    </w:p>
                  </w:txbxContent>
                </v:textbox>
                <w10:anchorlock/>
              </v:shape>
            </w:pict>
          </mc:Fallback>
        </mc:AlternateContent>
      </w:r>
      <w:r w:rsidR="003E7559">
        <w:rPr>
          <w:noProof/>
        </w:rPr>
        <w:drawing>
          <wp:inline distT="0" distB="0" distL="0" distR="0" wp14:anchorId="6BAD33DC" wp14:editId="6EAB72D5">
            <wp:extent cx="2743200" cy="182880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V-charging-times-by-household.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743200" cy="1828800"/>
                    </a:xfrm>
                    <a:prstGeom prst="rect">
                      <a:avLst/>
                    </a:prstGeom>
                  </pic:spPr>
                </pic:pic>
              </a:graphicData>
            </a:graphic>
          </wp:inline>
        </w:drawing>
      </w:r>
    </w:p>
    <w:p w:rsidR="005D4C31" w:rsidRDefault="005D4C31" w:rsidP="001F2612">
      <w:pPr>
        <w:pStyle w:val="Heading2"/>
        <w:jc w:val="both"/>
        <w:rPr>
          <w:lang w:val="nb-NO"/>
        </w:rPr>
      </w:pPr>
      <w:proofErr w:type="spellStart"/>
      <w:r>
        <w:rPr>
          <w:lang w:val="nb-NO"/>
        </w:rPr>
        <w:t>Charging</w:t>
      </w:r>
      <w:proofErr w:type="spellEnd"/>
      <w:r>
        <w:rPr>
          <w:lang w:val="nb-NO"/>
        </w:rPr>
        <w:t xml:space="preserve"> </w:t>
      </w:r>
      <w:proofErr w:type="spellStart"/>
      <w:r w:rsidR="00990845">
        <w:rPr>
          <w:lang w:val="nb-NO"/>
        </w:rPr>
        <w:t>duration</w:t>
      </w:r>
      <w:proofErr w:type="spellEnd"/>
    </w:p>
    <w:p w:rsidR="0026179D" w:rsidRDefault="003E7868" w:rsidP="00576E34">
      <w:r w:rsidRPr="00576E34">
        <w:t xml:space="preserve">According to </w:t>
      </w:r>
      <w:r w:rsidR="00576E34" w:rsidRPr="00576E34">
        <w:t>the Norwegian e</w:t>
      </w:r>
      <w:r w:rsidR="00576E34">
        <w:t>lectric vehicle owner’s association (</w:t>
      </w:r>
      <w:proofErr w:type="spellStart"/>
      <w:r w:rsidR="00576E34">
        <w:t>Norsk</w:t>
      </w:r>
      <w:proofErr w:type="spellEnd"/>
      <w:r w:rsidR="00576E34">
        <w:t xml:space="preserve"> </w:t>
      </w:r>
      <w:proofErr w:type="spellStart"/>
      <w:r w:rsidR="00576E34">
        <w:t>elbilforening</w:t>
      </w:r>
      <w:proofErr w:type="spellEnd"/>
      <w:r w:rsidR="00576E34">
        <w:t xml:space="preserve">), the average battery size for common EVs sold in Norway in 2016 was 33 kWh (figure 3). Assuming similar battery sizes in Texas and an average charging rate of 5 kW, a very rough estimate puts expected typical charging </w:t>
      </w:r>
      <w:r w:rsidR="0026179D">
        <w:t>times at</w:t>
      </w:r>
      <w:r w:rsidR="00576E34">
        <w:t xml:space="preserve"> somewhere below 6 hours.</w:t>
      </w:r>
      <w:r w:rsidR="0026179D">
        <w:t xml:space="preserve"> However, as figure 4 reveals, the typical charging time for most houses in the data lies between 1.5 and 3.5 hours. </w:t>
      </w:r>
    </w:p>
    <w:p w:rsidR="0026179D" w:rsidRDefault="0026179D" w:rsidP="00576E34">
      <w:r>
        <w:rPr>
          <w:noProof/>
        </w:rPr>
        <mc:AlternateContent>
          <mc:Choice Requires="wps">
            <w:drawing>
              <wp:inline distT="0" distB="0" distL="0" distR="0" wp14:anchorId="01B9E25A" wp14:editId="532D546F">
                <wp:extent cx="2653030" cy="588645"/>
                <wp:effectExtent l="0" t="0" r="0" b="1905"/>
                <wp:docPr id="34" name="Text Box 34"/>
                <wp:cNvGraphicFramePr/>
                <a:graphic xmlns:a="http://schemas.openxmlformats.org/drawingml/2006/main">
                  <a:graphicData uri="http://schemas.microsoft.com/office/word/2010/wordprocessingShape">
                    <wps:wsp>
                      <wps:cNvSpPr txBox="1"/>
                      <wps:spPr>
                        <a:xfrm>
                          <a:off x="0" y="0"/>
                          <a:ext cx="2653030" cy="588645"/>
                        </a:xfrm>
                        <a:prstGeom prst="rect">
                          <a:avLst/>
                        </a:prstGeom>
                        <a:solidFill>
                          <a:prstClr val="white"/>
                        </a:solidFill>
                        <a:ln>
                          <a:noFill/>
                        </a:ln>
                      </wps:spPr>
                      <wps:txbx>
                        <w:txbxContent>
                          <w:p w:rsidR="0026179D" w:rsidRPr="0088010D" w:rsidRDefault="0026179D" w:rsidP="0026179D">
                            <w:pPr>
                              <w:pStyle w:val="Caption"/>
                              <w:jc w:val="center"/>
                              <w:rPr>
                                <w:noProof/>
                              </w:rPr>
                            </w:pPr>
                            <w:r w:rsidRPr="0088010D">
                              <w:t xml:space="preserve">Figure </w:t>
                            </w:r>
                            <w:r>
                              <w:t xml:space="preserve">3: Battery capacity of common electric vehicles sold in Norway in 2016. The largest batteries, at 90 kWh, belong to Tesla models S and X. The smallest, at 7 kWh, belongs to the four-wheel motorbike Renault </w:t>
                            </w:r>
                            <w:proofErr w:type="spellStart"/>
                            <w:r>
                              <w:t>Twizy</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1B9E25A" id="Text Box 34" o:spid="_x0000_s1028" type="#_x0000_t202" style="width:208.9pt;height:4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" stroked="f">
                <v:textbox inset="0,0,0,0">
                  <w:txbxContent>
                    <w:p w:rsidR="0026179D" w:rsidRPr="0088010D" w:rsidRDefault="0026179D" w:rsidP="0026179D">
                      <w:pPr>
                        <w:pStyle w:val="Caption"/>
                        <w:jc w:val="center"/>
                        <w:rPr>
                          <w:noProof/>
                        </w:rPr>
                      </w:pPr>
                      <w:r w:rsidRPr="0088010D">
                        <w:t xml:space="preserve">Figure </w:t>
                      </w:r>
                      <w:r>
                        <w:t xml:space="preserve">3: Battery capacity of common electric vehicles sold in Norway in 2016. The largest batteries, at 90 kWh, belong to Tesla models S and X. The smallest, at 7 kWh, belongs to the four-wheel motorbike Renault </w:t>
                      </w:r>
                      <w:proofErr w:type="spellStart"/>
                      <w:r>
                        <w:t>Twizy</w:t>
                      </w:r>
                      <w:proofErr w:type="spellEnd"/>
                      <w:r>
                        <w:t>.</w:t>
                      </w:r>
                    </w:p>
                  </w:txbxContent>
                </v:textbox>
                <w10:anchorlock/>
              </v:shape>
            </w:pict>
          </mc:Fallback>
        </mc:AlternateContent>
      </w:r>
    </w:p>
    <w:p w:rsidR="003E7559" w:rsidRDefault="007E70F9" w:rsidP="00576E34">
      <w:r>
        <w:rPr>
          <w:noProof/>
        </w:rPr>
        <w:drawing>
          <wp:inline distT="0" distB="0" distL="0" distR="0" wp14:anchorId="2D421F6B" wp14:editId="5CBC0A96">
            <wp:extent cx="3023756" cy="2015837"/>
            <wp:effectExtent l="0" t="0" r="5715" b="3810"/>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V-battery-sizes.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037372" cy="2024915"/>
                    </a:xfrm>
                    <a:prstGeom prst="rect">
                      <a:avLst/>
                    </a:prstGeom>
                  </pic:spPr>
                </pic:pic>
              </a:graphicData>
            </a:graphic>
          </wp:inline>
        </w:drawing>
      </w:r>
    </w:p>
    <w:p w:rsidR="00576E34" w:rsidRPr="00576E34" w:rsidRDefault="0026179D" w:rsidP="00576E34">
      <w:r>
        <w:rPr>
          <w:noProof/>
        </w:rPr>
        <w:lastRenderedPageBreak/>
        <w:drawing>
          <wp:inline distT="0" distB="0" distL="0" distR="0">
            <wp:extent cx="2743200" cy="1828800"/>
            <wp:effectExtent l="0" t="0" r="0" b="0"/>
            <wp:docPr id="35" name="Graph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edian-charging-tim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743200" cy="1828800"/>
                    </a:xfrm>
                    <a:prstGeom prst="rect">
                      <a:avLst/>
                    </a:prstGeom>
                  </pic:spPr>
                </pic:pic>
              </a:graphicData>
            </a:graphic>
          </wp:inline>
        </w:drawing>
      </w:r>
    </w:p>
    <w:p w:rsidR="005D4C31" w:rsidRDefault="005D4C31" w:rsidP="001F2612">
      <w:pPr>
        <w:pStyle w:val="Heading1"/>
        <w:jc w:val="both"/>
        <w:rPr>
          <w:lang w:val="nb-NO"/>
        </w:rPr>
      </w:pPr>
      <w:proofErr w:type="spellStart"/>
      <w:r>
        <w:rPr>
          <w:lang w:val="nb-NO"/>
        </w:rPr>
        <w:t>Charging</w:t>
      </w:r>
      <w:proofErr w:type="spellEnd"/>
      <w:r>
        <w:rPr>
          <w:lang w:val="nb-NO"/>
        </w:rPr>
        <w:t xml:space="preserve"> </w:t>
      </w:r>
      <w:proofErr w:type="spellStart"/>
      <w:r>
        <w:rPr>
          <w:lang w:val="nb-NO"/>
        </w:rPr>
        <w:t>frequency</w:t>
      </w:r>
      <w:proofErr w:type="spellEnd"/>
    </w:p>
    <w:p w:rsidR="001F2612" w:rsidRDefault="001F2612" w:rsidP="001F2612">
      <w:pPr>
        <w:jc w:val="both"/>
      </w:pPr>
      <w:r w:rsidRPr="001F2612">
        <w:t>How often owners of e</w:t>
      </w:r>
      <w:r>
        <w:t>lectric vehicles charge their cars may be a useful statistic e.g. for determining whether an unknown household has an EV. For this purpose, it is useful to examine the duration of the periods between charging events. Figure 5 shows the distribution of such periods from the data</w:t>
      </w:r>
      <w:r w:rsidR="00C601AC">
        <w:t xml:space="preserve">. </w:t>
      </w:r>
      <w:r>
        <w:t>For clarity, figure 6 shows the inter-charging periods sorted by length, clearly displaying terraces around each 24-hour multiple.</w:t>
      </w:r>
      <w:r w:rsidR="00C601AC">
        <w:t xml:space="preserve"> For both figures, all inter-charging periods exceeding one week in duration have been left out. This amounts to less than 2% of such periods.</w:t>
      </w:r>
    </w:p>
    <w:p w:rsidR="001F2612" w:rsidRDefault="001F2612" w:rsidP="001F2612">
      <w:pPr>
        <w:jc w:val="both"/>
      </w:pPr>
      <w:r>
        <w:rPr>
          <w:noProof/>
        </w:rPr>
        <mc:AlternateContent>
          <mc:Choice Requires="wps">
            <w:drawing>
              <wp:inline distT="0" distB="0" distL="0" distR="0" wp14:anchorId="3EFEA8C0">
                <wp:extent cx="2590165" cy="434340"/>
                <wp:effectExtent l="0" t="0" r="635" b="3810"/>
                <wp:docPr id="24" name="Text Box 24"/>
                <wp:cNvGraphicFramePr/>
                <a:graphic xmlns:a="http://schemas.openxmlformats.org/drawingml/2006/main">
                  <a:graphicData uri="http://schemas.microsoft.com/office/word/2010/wordprocessingShape">
                    <wps:wsp>
                      <wps:cNvSpPr txBox="1"/>
                      <wps:spPr>
                        <a:xfrm>
                          <a:off x="0" y="0"/>
                          <a:ext cx="2590165" cy="434340"/>
                        </a:xfrm>
                        <a:prstGeom prst="rect">
                          <a:avLst/>
                        </a:prstGeom>
                        <a:solidFill>
                          <a:prstClr val="white"/>
                        </a:solidFill>
                        <a:ln>
                          <a:noFill/>
                        </a:ln>
                      </wps:spPr>
                      <wps:txbx>
                        <w:txbxContent>
                          <w:p w:rsidR="001F2612" w:rsidRPr="0088010D" w:rsidRDefault="001F2612" w:rsidP="001F2612">
                            <w:pPr>
                              <w:pStyle w:val="Caption"/>
                              <w:jc w:val="center"/>
                              <w:rPr>
                                <w:noProof/>
                              </w:rPr>
                            </w:pPr>
                            <w:r w:rsidRPr="0088010D">
                              <w:t xml:space="preserve">Figure </w:t>
                            </w:r>
                            <w:r>
                              <w:t>5: The distribution of the duration of the periods between two charging events in a single household. Periods exceeding one week have been left 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EFEA8C0" id="Text Box 24" o:spid="_x0000_s1029" type="#_x0000_t202" style="width:203.95pt;height:3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" stroked="f">
                <v:textbox inset="0,0,0,0">
                  <w:txbxContent>
                    <w:p w:rsidR="001F2612" w:rsidRPr="0088010D" w:rsidRDefault="001F2612" w:rsidP="001F2612">
                      <w:pPr>
                        <w:pStyle w:val="Caption"/>
                        <w:jc w:val="center"/>
                        <w:rPr>
                          <w:noProof/>
                        </w:rPr>
                      </w:pPr>
                      <w:r w:rsidRPr="0088010D">
                        <w:t xml:space="preserve">Figure </w:t>
                      </w:r>
                      <w:r>
                        <w:t>5: The distribution of the duration of the periods between two charging events in a single household. Periods exceeding one week have been left out.</w:t>
                      </w:r>
                    </w:p>
                  </w:txbxContent>
                </v:textbox>
                <w10:anchorlock/>
              </v:shape>
            </w:pict>
          </mc:Fallback>
        </mc:AlternateContent>
      </w:r>
      <w:r>
        <w:rPr>
          <w:noProof/>
        </w:rPr>
        <w:drawing>
          <wp:inline distT="0" distB="0" distL="0" distR="0">
            <wp:extent cx="3147060" cy="2098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V-inter-charging-distribution.png"/>
                    <pic:cNvPicPr/>
                  </pic:nvPicPr>
                  <pic:blipFill>
                    <a:blip r:embed="rId16">
                      <a:extLst>
                        <a:ext uri="{28A0092B-C50C-407E-A947-70E740481C1C}">
                          <a14:useLocalDpi xmlns:a14="http://schemas.microsoft.com/office/drawing/2010/main" val="0"/>
                        </a:ext>
                      </a:extLst>
                    </a:blip>
                    <a:stretch>
                      <a:fillRect/>
                    </a:stretch>
                  </pic:blipFill>
                  <pic:spPr>
                    <a:xfrm>
                      <a:off x="0" y="0"/>
                      <a:ext cx="3147060" cy="2098040"/>
                    </a:xfrm>
                    <a:prstGeom prst="rect">
                      <a:avLst/>
                    </a:prstGeom>
                  </pic:spPr>
                </pic:pic>
              </a:graphicData>
            </a:graphic>
          </wp:inline>
        </w:drawing>
      </w:r>
    </w:p>
    <w:p w:rsidR="001F2612" w:rsidRDefault="0026179D" w:rsidP="001F2612">
      <w:pPr>
        <w:jc w:val="both"/>
      </w:pPr>
      <w:r>
        <w:rPr>
          <w:noProof/>
        </w:rPr>
        <mc:AlternateContent>
          <mc:Choice Requires="wps">
            <w:drawing>
              <wp:inline distT="0" distB="0" distL="0" distR="0" wp14:anchorId="4ED0CE35">
                <wp:extent cx="2590165" cy="434340"/>
                <wp:effectExtent l="0" t="0" r="635" b="3810"/>
                <wp:docPr id="26" name="Text Box 26"/>
                <wp:cNvGraphicFramePr/>
                <a:graphic xmlns:a="http://schemas.openxmlformats.org/drawingml/2006/main">
                  <a:graphicData uri="http://schemas.microsoft.com/office/word/2010/wordprocessingShape">
                    <wps:wsp>
                      <wps:cNvSpPr txBox="1"/>
                      <wps:spPr>
                        <a:xfrm>
                          <a:off x="0" y="0"/>
                          <a:ext cx="2590165" cy="434340"/>
                        </a:xfrm>
                        <a:prstGeom prst="rect">
                          <a:avLst/>
                        </a:prstGeom>
                        <a:solidFill>
                          <a:prstClr val="white"/>
                        </a:solidFill>
                        <a:ln>
                          <a:noFill/>
                        </a:ln>
                      </wps:spPr>
                      <wps:txbx>
                        <w:txbxContent>
                          <w:p w:rsidR="001F2612" w:rsidRPr="0088010D" w:rsidRDefault="001F2612" w:rsidP="001F2612">
                            <w:pPr>
                              <w:pStyle w:val="Caption"/>
                              <w:jc w:val="center"/>
                              <w:rPr>
                                <w:noProof/>
                              </w:rPr>
                            </w:pPr>
                            <w:r w:rsidRPr="0088010D">
                              <w:t xml:space="preserve">Figure </w:t>
                            </w:r>
                            <w:r w:rsidR="007A0060">
                              <w:t>6</w:t>
                            </w:r>
                            <w:r>
                              <w:t xml:space="preserve">: </w:t>
                            </w:r>
                            <w:r w:rsidR="00C601AC">
                              <w:t xml:space="preserve">The same periods as in figure 5 sorted by duration. </w:t>
                            </w:r>
                            <w:r>
                              <w:t>Periods exceeding one week have been left out.</w:t>
                            </w:r>
                            <w:r w:rsidR="00C601AC">
                              <w:t xml:space="preserve"> Horizontal lines indicate 24-hour multiples.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ED0CE35" id="Text Box 26" o:spid="_x0000_s1030" type="#_x0000_t202" style="width:203.95pt;height:3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" stroked="f">
                <v:textbox inset="0,0,0,0">
                  <w:txbxContent>
                    <w:p w:rsidR="001F2612" w:rsidRPr="0088010D" w:rsidRDefault="001F2612" w:rsidP="001F2612">
                      <w:pPr>
                        <w:pStyle w:val="Caption"/>
                        <w:jc w:val="center"/>
                        <w:rPr>
                          <w:noProof/>
                        </w:rPr>
                      </w:pPr>
                      <w:r w:rsidRPr="0088010D">
                        <w:t xml:space="preserve">Figure </w:t>
                      </w:r>
                      <w:r w:rsidR="007A0060">
                        <w:t>6</w:t>
                      </w:r>
                      <w:r>
                        <w:t xml:space="preserve">: </w:t>
                      </w:r>
                      <w:r w:rsidR="00C601AC">
                        <w:t xml:space="preserve">The same periods as in figure 5 sorted by duration. </w:t>
                      </w:r>
                      <w:r>
                        <w:t>Periods exceeding one week have been left out.</w:t>
                      </w:r>
                      <w:r w:rsidR="00C601AC">
                        <w:t xml:space="preserve"> Horizontal lines indicate 24-hour multiples.</w:t>
                      </w:r>
                    </w:p>
                  </w:txbxContent>
                </v:textbox>
                <w10:anchorlock/>
              </v:shape>
            </w:pict>
          </mc:Fallback>
        </mc:AlternateContent>
      </w:r>
      <w:r>
        <w:rPr>
          <w:noProof/>
        </w:rPr>
        <mc:AlternateContent>
          <mc:Choice Requires="wps">
            <w:drawing>
              <wp:anchor distT="0" distB="0" distL="114300" distR="114300" simplePos="0" relativeHeight="251671552" behindDoc="0" locked="0" layoutInCell="1" allowOverlap="1" wp14:anchorId="708C7694" wp14:editId="57AE0F6A">
                <wp:simplePos x="0" y="0"/>
                <wp:positionH relativeFrom="margin">
                  <wp:align>left</wp:align>
                </wp:positionH>
                <wp:positionV relativeFrom="paragraph">
                  <wp:posOffset>0</wp:posOffset>
                </wp:positionV>
                <wp:extent cx="2653030" cy="457200"/>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2653030" cy="457200"/>
                        </a:xfrm>
                        <a:prstGeom prst="rect">
                          <a:avLst/>
                        </a:prstGeom>
                        <a:solidFill>
                          <a:prstClr val="white"/>
                        </a:solidFill>
                        <a:ln>
                          <a:noFill/>
                        </a:ln>
                      </wps:spPr>
                      <wps:txbx>
                        <w:txbxContent>
                          <w:p w:rsidR="0026179D" w:rsidRPr="0088010D" w:rsidRDefault="0026179D" w:rsidP="0026179D">
                            <w:pPr>
                              <w:pStyle w:val="Caption"/>
                              <w:jc w:val="center"/>
                              <w:rPr>
                                <w:noProof/>
                              </w:rPr>
                            </w:pPr>
                            <w:r w:rsidRPr="0088010D">
                              <w:t xml:space="preserve">Figure </w:t>
                            </w:r>
                            <w:r>
                              <w:t>4: Median charging time per house. The typical charging takes for most houses a perhaps surprisingly short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C7694" id="Text Box 36" o:spid="_x0000_s1031" type="#_x0000_t202" style="position:absolute;left:0;text-align:left;margin-left:0;margin-top:0;width:208.9pt;height:36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YMdMAIAAGk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" stroked="f">
                <v:textbox inset="0,0,0,0">
                  <w:txbxContent>
                    <w:p w:rsidR="0026179D" w:rsidRPr="0088010D" w:rsidRDefault="0026179D" w:rsidP="0026179D">
                      <w:pPr>
                        <w:pStyle w:val="Caption"/>
                        <w:jc w:val="center"/>
                        <w:rPr>
                          <w:noProof/>
                        </w:rPr>
                      </w:pPr>
                      <w:r w:rsidRPr="0088010D">
                        <w:t xml:space="preserve">Figure </w:t>
                      </w:r>
                      <w:r>
                        <w:t>4: Median charging time per house. The typical charging takes for most houses a perhaps surprisingly short time.</w:t>
                      </w:r>
                    </w:p>
                  </w:txbxContent>
                </v:textbox>
                <w10:wrap type="topAndBottom" anchorx="margin"/>
              </v:shape>
            </w:pict>
          </mc:Fallback>
        </mc:AlternateContent>
      </w:r>
      <w:r w:rsidR="001F2612">
        <w:rPr>
          <w:noProof/>
        </w:rPr>
        <w:drawing>
          <wp:inline distT="0" distB="0" distL="0" distR="0">
            <wp:extent cx="3291840" cy="21945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inter-charging-periods.png"/>
                    <pic:cNvPicPr/>
                  </pic:nvPicPr>
                  <pic:blipFill>
                    <a:blip r:embed="rId17">
                      <a:extLst>
                        <a:ext uri="{28A0092B-C50C-407E-A947-70E740481C1C}">
                          <a14:useLocalDpi xmlns:a14="http://schemas.microsoft.com/office/drawing/2010/main" val="0"/>
                        </a:ext>
                      </a:extLst>
                    </a:blip>
                    <a:stretch>
                      <a:fillRect/>
                    </a:stretch>
                  </pic:blipFill>
                  <pic:spPr>
                    <a:xfrm>
                      <a:off x="0" y="0"/>
                      <a:ext cx="3291840" cy="2194560"/>
                    </a:xfrm>
                    <a:prstGeom prst="rect">
                      <a:avLst/>
                    </a:prstGeom>
                  </pic:spPr>
                </pic:pic>
              </a:graphicData>
            </a:graphic>
          </wp:inline>
        </w:drawing>
      </w:r>
    </w:p>
    <w:p w:rsidR="007A0060" w:rsidRDefault="00C601AC" w:rsidP="001F2612">
      <w:pPr>
        <w:jc w:val="both"/>
      </w:pPr>
      <w:r>
        <w:t>Both figures show that in general, car owners follow a 24-hour charging cycle</w:t>
      </w:r>
      <w:r w:rsidR="007A0060">
        <w:t>, with most charging every day. In the data, 61.1% of houses has a median inter-charging period of less than 24 hours, while 86.1% of houses has one of less than 48 hours. Figure 7 shows the distribution of inter-charging periods from each house as box plots. Grey and white bands indicate 24-hour intervals. Shows that the median for most houses lie around the 24-hour mark</w:t>
      </w:r>
      <w:r w:rsidR="00212278">
        <w:t xml:space="preserve">. </w:t>
      </w:r>
    </w:p>
    <w:p w:rsidR="007A0060" w:rsidRPr="001F2612" w:rsidRDefault="006A7E1F" w:rsidP="001F2612">
      <w:pPr>
        <w:jc w:val="both"/>
      </w:pPr>
      <w:r>
        <w:rPr>
          <w:noProof/>
        </w:rPr>
        <w:lastRenderedPageBreak/>
        <mc:AlternateContent>
          <mc:Choice Requires="wps">
            <w:drawing>
              <wp:anchor distT="0" distB="0" distL="114300" distR="114300" simplePos="0" relativeHeight="251673600" behindDoc="0" locked="0" layoutInCell="1" allowOverlap="1" wp14:anchorId="1F03E3F2">
                <wp:simplePos x="0" y="0"/>
                <wp:positionH relativeFrom="column">
                  <wp:posOffset>-91440</wp:posOffset>
                </wp:positionH>
                <wp:positionV relativeFrom="paragraph">
                  <wp:posOffset>0</wp:posOffset>
                </wp:positionV>
                <wp:extent cx="6649720" cy="3810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649720" cy="381000"/>
                        </a:xfrm>
                        <a:prstGeom prst="rect">
                          <a:avLst/>
                        </a:prstGeom>
                        <a:solidFill>
                          <a:prstClr val="white"/>
                        </a:solidFill>
                        <a:ln>
                          <a:noFill/>
                        </a:ln>
                      </wps:spPr>
                      <wps:txbx>
                        <w:txbxContent>
                          <w:p w:rsidR="00212278" w:rsidRPr="0088010D" w:rsidRDefault="00212278" w:rsidP="00212278">
                            <w:pPr>
                              <w:pStyle w:val="Caption"/>
                              <w:jc w:val="center"/>
                              <w:rPr>
                                <w:noProof/>
                              </w:rPr>
                            </w:pPr>
                            <w:r w:rsidRPr="0088010D">
                              <w:t xml:space="preserve">Figure </w:t>
                            </w:r>
                            <w:r>
                              <w:t xml:space="preserve">7: Each box plot represents the distribution of the duration of time between </w:t>
                            </w:r>
                            <w:proofErr w:type="spellStart"/>
                            <w:r>
                              <w:t>chargings</w:t>
                            </w:r>
                            <w:proofErr w:type="spellEnd"/>
                            <w:r>
                              <w:t xml:space="preserve"> for each house in the data. Most houses show a median inter-charging period duration of around 24 hours.</w:t>
                            </w:r>
                            <w:r w:rsidR="001C6E49">
                              <w:t xml:space="preserve"> Some outliers have been left out of the figure.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F03E3F2" id="Text Box 29" o:spid="_x0000_s1032" type="#_x0000_t202" style="position:absolute;left:0;text-align:left;margin-left:-7.2pt;margin-top:0;width:523.6pt;height:30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" stroked="f">
                <v:textbox inset="0,0,0,0">
                  <w:txbxContent>
                    <w:p w:rsidR="00212278" w:rsidRPr="0088010D" w:rsidRDefault="00212278" w:rsidP="00212278">
                      <w:pPr>
                        <w:pStyle w:val="Caption"/>
                        <w:jc w:val="center"/>
                        <w:rPr>
                          <w:noProof/>
                        </w:rPr>
                      </w:pPr>
                      <w:r w:rsidRPr="0088010D">
                        <w:t xml:space="preserve">Figure </w:t>
                      </w:r>
                      <w:r>
                        <w:t xml:space="preserve">7: Each box plot represents the distribution of the duration of time between </w:t>
                      </w:r>
                      <w:proofErr w:type="spellStart"/>
                      <w:r>
                        <w:t>chargings</w:t>
                      </w:r>
                      <w:proofErr w:type="spellEnd"/>
                      <w:r>
                        <w:t xml:space="preserve"> for each house in the data. Most houses show a median inter-charging period duration of around 24 hours.</w:t>
                      </w:r>
                      <w:r w:rsidR="001C6E49">
                        <w:t xml:space="preserve"> Some outliers have been left out of the figure.</w:t>
                      </w:r>
                    </w:p>
                  </w:txbxContent>
                </v:textbox>
              </v:shape>
            </w:pict>
          </mc:Fallback>
        </mc:AlternateContent>
      </w:r>
      <w:r w:rsidR="0026179D">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81280</wp:posOffset>
            </wp:positionV>
            <wp:extent cx="6275705" cy="627570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V-inter-charging-boxplot.png"/>
                    <pic:cNvPicPr/>
                  </pic:nvPicPr>
                  <pic:blipFill>
                    <a:blip r:embed="rId18">
                      <a:extLst>
                        <a:ext uri="{28A0092B-C50C-407E-A947-70E740481C1C}">
                          <a14:useLocalDpi xmlns:a14="http://schemas.microsoft.com/office/drawing/2010/main" val="0"/>
                        </a:ext>
                      </a:extLst>
                    </a:blip>
                    <a:stretch>
                      <a:fillRect/>
                    </a:stretch>
                  </pic:blipFill>
                  <pic:spPr>
                    <a:xfrm>
                      <a:off x="0" y="0"/>
                      <a:ext cx="6275705" cy="6275705"/>
                    </a:xfrm>
                    <a:prstGeom prst="rect">
                      <a:avLst/>
                    </a:prstGeom>
                  </pic:spPr>
                </pic:pic>
              </a:graphicData>
            </a:graphic>
            <wp14:sizeRelH relativeFrom="margin">
              <wp14:pctWidth>0</wp14:pctWidth>
            </wp14:sizeRelH>
            <wp14:sizeRelV relativeFrom="margin">
              <wp14:pctHeight>0</wp14:pctHeight>
            </wp14:sizeRelV>
          </wp:anchor>
        </w:drawing>
      </w:r>
    </w:p>
    <w:p w:rsidR="005D4C31" w:rsidRDefault="005D4C31" w:rsidP="001F2612">
      <w:pPr>
        <w:pStyle w:val="Heading1"/>
        <w:jc w:val="both"/>
        <w:rPr>
          <w:lang w:val="nb-NO"/>
        </w:rPr>
      </w:pPr>
      <w:r>
        <w:rPr>
          <w:lang w:val="nb-NO"/>
        </w:rPr>
        <w:t xml:space="preserve">EV Peak </w:t>
      </w:r>
      <w:proofErr w:type="spellStart"/>
      <w:r>
        <w:rPr>
          <w:lang w:val="nb-NO"/>
        </w:rPr>
        <w:t>Contribution</w:t>
      </w:r>
      <w:proofErr w:type="spellEnd"/>
    </w:p>
    <w:p w:rsidR="00313B5F" w:rsidRDefault="001F19A9" w:rsidP="001F19A9">
      <w:pPr>
        <w:jc w:val="both"/>
      </w:pPr>
      <w:r w:rsidRPr="001F19A9">
        <w:t>Another interesting metri</w:t>
      </w:r>
      <w:r>
        <w:t xml:space="preserve">c is how much EV charging contributes to the peaks in power use for a household. </w:t>
      </w:r>
      <w:r w:rsidR="00176E89">
        <w:t xml:space="preserve">If </w:t>
      </w:r>
      <w:r w:rsidR="006A7E1F">
        <w:t xml:space="preserve">EV charging constitutes a large proportion of the grid peaks, the viability of EV discovery methods increases significantly. Figure 8 shows that while the median household owes a large part of its </w:t>
      </w:r>
      <w:r w:rsidR="00313B5F">
        <w:t>net</w:t>
      </w:r>
      <w:r w:rsidR="006A7E1F">
        <w:t xml:space="preserve"> </w:t>
      </w:r>
      <w:r w:rsidR="00313B5F">
        <w:t xml:space="preserve">power </w:t>
      </w:r>
      <w:r w:rsidR="006A7E1F">
        <w:t>drain peaks (defined as regions of measurements above three standard deviations from the signal mean) to EV charging, the proportion varies greatly, with some houses owing almost none of their peaks to EVs</w:t>
      </w:r>
      <w:r w:rsidR="00313B5F">
        <w:t xml:space="preserve">. </w:t>
      </w:r>
    </w:p>
    <w:p w:rsidR="00313B5F" w:rsidRDefault="00313B5F" w:rsidP="001F19A9">
      <w:pPr>
        <w:jc w:val="both"/>
      </w:pPr>
    </w:p>
    <w:p w:rsidR="001F19A9" w:rsidRDefault="00313B5F" w:rsidP="001F19A9">
      <w:pPr>
        <w:jc w:val="both"/>
      </w:pPr>
      <w:r>
        <w:rPr>
          <w:noProof/>
        </w:rPr>
        <w:lastRenderedPageBreak/>
        <mc:AlternateContent>
          <mc:Choice Requires="wps">
            <w:drawing>
              <wp:inline distT="0" distB="0" distL="0" distR="0" wp14:anchorId="7D11E641" wp14:editId="32BB4CCA">
                <wp:extent cx="2590165" cy="640080"/>
                <wp:effectExtent l="0" t="0" r="635" b="7620"/>
                <wp:docPr id="2" name="Text Box 2"/>
                <wp:cNvGraphicFramePr/>
                <a:graphic xmlns:a="http://schemas.openxmlformats.org/drawingml/2006/main">
                  <a:graphicData uri="http://schemas.microsoft.com/office/word/2010/wordprocessingShape">
                    <wps:wsp>
                      <wps:cNvSpPr txBox="1"/>
                      <wps:spPr>
                        <a:xfrm>
                          <a:off x="0" y="0"/>
                          <a:ext cx="2590165" cy="640080"/>
                        </a:xfrm>
                        <a:prstGeom prst="rect">
                          <a:avLst/>
                        </a:prstGeom>
                        <a:solidFill>
                          <a:prstClr val="white"/>
                        </a:solidFill>
                        <a:ln>
                          <a:noFill/>
                        </a:ln>
                      </wps:spPr>
                      <wps:txbx>
                        <w:txbxContent>
                          <w:p w:rsidR="00313B5F" w:rsidRPr="0088010D" w:rsidRDefault="00313B5F" w:rsidP="00313B5F">
                            <w:pPr>
                              <w:pStyle w:val="Caption"/>
                              <w:jc w:val="center"/>
                              <w:rPr>
                                <w:noProof/>
                              </w:rPr>
                            </w:pPr>
                            <w:r w:rsidRPr="0088010D">
                              <w:t xml:space="preserve">Figure </w:t>
                            </w:r>
                            <w:r>
                              <w:t>6: The proportion of contiguous periods with net power drain greater than three standard deviations from the mean corresponding to EV charging events for each house.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D11E641" id="Text Box 2" o:spid="_x0000_s1033" type="#_x0000_t202" style="width:203.95pt;height:5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" stroked="f">
                <v:textbox inset="0,0,0,0">
                  <w:txbxContent>
                    <w:p w:rsidR="00313B5F" w:rsidRPr="0088010D" w:rsidRDefault="00313B5F" w:rsidP="00313B5F">
                      <w:pPr>
                        <w:pStyle w:val="Caption"/>
                        <w:jc w:val="center"/>
                        <w:rPr>
                          <w:noProof/>
                        </w:rPr>
                      </w:pPr>
                      <w:r w:rsidRPr="0088010D">
                        <w:t xml:space="preserve">Figure </w:t>
                      </w:r>
                      <w:r>
                        <w:t>6: The proportion of contiguous periods with net power drain greater than three standard deviations from the mean corresponding to EV charging events for each house.</w:t>
                      </w:r>
                    </w:p>
                  </w:txbxContent>
                </v:textbox>
                <w10:anchorlock/>
              </v:shape>
            </w:pict>
          </mc:Fallback>
        </mc:AlternateContent>
      </w:r>
    </w:p>
    <w:p w:rsidR="00313B5F" w:rsidRPr="001F19A9" w:rsidRDefault="00313B5F" w:rsidP="001F19A9">
      <w:pPr>
        <w:jc w:val="both"/>
      </w:pPr>
      <w:r>
        <w:rPr>
          <w:noProof/>
        </w:rPr>
        <w:drawing>
          <wp:inline distT="0" distB="0" distL="0" distR="0">
            <wp:extent cx="3055620" cy="2307983"/>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rging_and_peaks.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059800" cy="2311141"/>
                    </a:xfrm>
                    <a:prstGeom prst="rect">
                      <a:avLst/>
                    </a:prstGeom>
                  </pic:spPr>
                </pic:pic>
              </a:graphicData>
            </a:graphic>
          </wp:inline>
        </w:drawing>
      </w:r>
    </w:p>
    <w:p w:rsidR="005D4C31" w:rsidRPr="005D4C31" w:rsidRDefault="005D4C31" w:rsidP="001F2612">
      <w:pPr>
        <w:pStyle w:val="Heading1"/>
        <w:jc w:val="both"/>
        <w:rPr>
          <w:lang w:val="nb-NO"/>
        </w:rPr>
      </w:pPr>
      <w:proofErr w:type="spellStart"/>
      <w:r>
        <w:rPr>
          <w:lang w:val="nb-NO"/>
        </w:rPr>
        <w:t>Discussion</w:t>
      </w:r>
      <w:bookmarkStart w:id="0" w:name="_GoBack"/>
      <w:bookmarkEnd w:id="0"/>
      <w:proofErr w:type="spellEnd"/>
    </w:p>
    <w:sectPr w:rsidR="005D4C31" w:rsidRPr="005D4C31" w:rsidSect="00586BAA">
      <w:headerReference w:type="default" r:id="rId21"/>
      <w:footerReference w:type="default" r:id="rId22"/>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7AC5" w:rsidRDefault="00F37AC5" w:rsidP="00173309">
      <w:pPr>
        <w:spacing w:after="0" w:line="240" w:lineRule="auto"/>
      </w:pPr>
      <w:r>
        <w:separator/>
      </w:r>
    </w:p>
  </w:endnote>
  <w:endnote w:type="continuationSeparator" w:id="0">
    <w:p w:rsidR="00F37AC5" w:rsidRDefault="00F37AC5" w:rsidP="001733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2055428"/>
      <w:docPartObj>
        <w:docPartGallery w:val="Page Numbers (Bottom of Page)"/>
        <w:docPartUnique/>
      </w:docPartObj>
    </w:sdtPr>
    <w:sdtEndPr>
      <w:rPr>
        <w:noProof/>
      </w:rPr>
    </w:sdtEndPr>
    <w:sdtContent>
      <w:p w:rsidR="00173309" w:rsidRDefault="0017330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73309" w:rsidRDefault="001733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7AC5" w:rsidRDefault="00F37AC5" w:rsidP="00173309">
      <w:pPr>
        <w:spacing w:after="0" w:line="240" w:lineRule="auto"/>
      </w:pPr>
      <w:r>
        <w:separator/>
      </w:r>
    </w:p>
  </w:footnote>
  <w:footnote w:type="continuationSeparator" w:id="0">
    <w:p w:rsidR="00F37AC5" w:rsidRDefault="00F37AC5" w:rsidP="001733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3309" w:rsidRDefault="00173309">
    <w:pPr>
      <w:pStyle w:val="Header"/>
    </w:pPr>
    <w:r>
      <w:t xml:space="preserve">Bjørn </w:t>
    </w:r>
    <w:proofErr w:type="spellStart"/>
    <w:r>
      <w:t>Ingeberg</w:t>
    </w:r>
    <w:proofErr w:type="spellEnd"/>
    <w:r>
      <w:t xml:space="preserve"> Fesche</w:t>
    </w:r>
    <w:r>
      <w:ptab w:relativeTo="margin" w:alignment="center" w:leader="none"/>
    </w:r>
    <w:r>
      <w:t xml:space="preserve">SINTEF </w:t>
    </w:r>
    <w:proofErr w:type="spellStart"/>
    <w:r>
      <w:t>Energytics</w:t>
    </w:r>
    <w:proofErr w:type="spellEnd"/>
    <w:r>
      <w:t xml:space="preserve"> project</w:t>
    </w:r>
    <w:r>
      <w:ptab w:relativeTo="margin" w:alignment="right" w:leader="none"/>
    </w:r>
    <w:r>
      <w:t>March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44B1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5840B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4DE595B"/>
    <w:multiLevelType w:val="hybridMultilevel"/>
    <w:tmpl w:val="96769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DE3D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77B"/>
    <w:rsid w:val="000045D7"/>
    <w:rsid w:val="000338E8"/>
    <w:rsid w:val="000359D6"/>
    <w:rsid w:val="0003733E"/>
    <w:rsid w:val="00091A0E"/>
    <w:rsid w:val="000B2186"/>
    <w:rsid w:val="000C3884"/>
    <w:rsid w:val="000D3F38"/>
    <w:rsid w:val="000D5535"/>
    <w:rsid w:val="00100C92"/>
    <w:rsid w:val="00102B01"/>
    <w:rsid w:val="00122141"/>
    <w:rsid w:val="00150B90"/>
    <w:rsid w:val="00173309"/>
    <w:rsid w:val="00176E89"/>
    <w:rsid w:val="00191975"/>
    <w:rsid w:val="00192C0F"/>
    <w:rsid w:val="001C6E49"/>
    <w:rsid w:val="001F19A9"/>
    <w:rsid w:val="001F2612"/>
    <w:rsid w:val="001F4B09"/>
    <w:rsid w:val="00211F6A"/>
    <w:rsid w:val="00212278"/>
    <w:rsid w:val="00224470"/>
    <w:rsid w:val="002420F2"/>
    <w:rsid w:val="002501A7"/>
    <w:rsid w:val="0026179D"/>
    <w:rsid w:val="00261EC2"/>
    <w:rsid w:val="0026453A"/>
    <w:rsid w:val="00264FC5"/>
    <w:rsid w:val="002B0B0D"/>
    <w:rsid w:val="003101CF"/>
    <w:rsid w:val="00313B5F"/>
    <w:rsid w:val="00314725"/>
    <w:rsid w:val="0036567B"/>
    <w:rsid w:val="003B431D"/>
    <w:rsid w:val="003E7559"/>
    <w:rsid w:val="003E7868"/>
    <w:rsid w:val="00402755"/>
    <w:rsid w:val="00437384"/>
    <w:rsid w:val="00496601"/>
    <w:rsid w:val="005760E8"/>
    <w:rsid w:val="00576E34"/>
    <w:rsid w:val="00586BAA"/>
    <w:rsid w:val="005D4C31"/>
    <w:rsid w:val="006161F7"/>
    <w:rsid w:val="0062177B"/>
    <w:rsid w:val="00621866"/>
    <w:rsid w:val="0063125B"/>
    <w:rsid w:val="00652EE2"/>
    <w:rsid w:val="006879CC"/>
    <w:rsid w:val="006A7E1F"/>
    <w:rsid w:val="006D797B"/>
    <w:rsid w:val="007310C9"/>
    <w:rsid w:val="00755984"/>
    <w:rsid w:val="00765EB4"/>
    <w:rsid w:val="00783A5A"/>
    <w:rsid w:val="00792219"/>
    <w:rsid w:val="00795DA3"/>
    <w:rsid w:val="007A0060"/>
    <w:rsid w:val="007A6529"/>
    <w:rsid w:val="007D334E"/>
    <w:rsid w:val="007D3A75"/>
    <w:rsid w:val="007E5097"/>
    <w:rsid w:val="007E70F9"/>
    <w:rsid w:val="00847C45"/>
    <w:rsid w:val="008764EE"/>
    <w:rsid w:val="0088010D"/>
    <w:rsid w:val="008949B4"/>
    <w:rsid w:val="008E53A3"/>
    <w:rsid w:val="008F24BD"/>
    <w:rsid w:val="009007F7"/>
    <w:rsid w:val="00912440"/>
    <w:rsid w:val="0092235B"/>
    <w:rsid w:val="00935D7C"/>
    <w:rsid w:val="00945337"/>
    <w:rsid w:val="009904C0"/>
    <w:rsid w:val="00990845"/>
    <w:rsid w:val="009918E9"/>
    <w:rsid w:val="009E160F"/>
    <w:rsid w:val="00A541B4"/>
    <w:rsid w:val="00AC1DB0"/>
    <w:rsid w:val="00AD2A08"/>
    <w:rsid w:val="00B26A36"/>
    <w:rsid w:val="00B75AAC"/>
    <w:rsid w:val="00BA3038"/>
    <w:rsid w:val="00BE0C6C"/>
    <w:rsid w:val="00C150A8"/>
    <w:rsid w:val="00C16474"/>
    <w:rsid w:val="00C47F1B"/>
    <w:rsid w:val="00C54645"/>
    <w:rsid w:val="00C601AC"/>
    <w:rsid w:val="00C765C3"/>
    <w:rsid w:val="00CA6354"/>
    <w:rsid w:val="00CB0913"/>
    <w:rsid w:val="00CE22B7"/>
    <w:rsid w:val="00CF1838"/>
    <w:rsid w:val="00D12FB7"/>
    <w:rsid w:val="00D70B28"/>
    <w:rsid w:val="00D97C44"/>
    <w:rsid w:val="00DA6FDD"/>
    <w:rsid w:val="00DD4920"/>
    <w:rsid w:val="00E36560"/>
    <w:rsid w:val="00E41AA0"/>
    <w:rsid w:val="00E645C1"/>
    <w:rsid w:val="00ED01F8"/>
    <w:rsid w:val="00EE42AA"/>
    <w:rsid w:val="00EF0E65"/>
    <w:rsid w:val="00F37AC5"/>
    <w:rsid w:val="00F51C54"/>
    <w:rsid w:val="00FD426C"/>
    <w:rsid w:val="00FF44AF"/>
    <w:rsid w:val="00FF7D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40E34"/>
  <w15:chartTrackingRefBased/>
  <w15:docId w15:val="{D9DC2B77-BF98-479E-878F-93CA9BEDE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177B"/>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6BAA"/>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6BAA"/>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86BA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86B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86B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86B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86B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6B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177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86BAA"/>
    <w:pPr>
      <w:ind w:left="720"/>
      <w:contextualSpacing/>
    </w:pPr>
  </w:style>
  <w:style w:type="character" w:customStyle="1" w:styleId="Heading2Char">
    <w:name w:val="Heading 2 Char"/>
    <w:basedOn w:val="DefaultParagraphFont"/>
    <w:link w:val="Heading2"/>
    <w:uiPriority w:val="9"/>
    <w:rsid w:val="00586BA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86BA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86BA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86BA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86BA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86BA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86BA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6BAA"/>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CA6354"/>
    <w:rPr>
      <w:color w:val="0563C1" w:themeColor="hyperlink"/>
      <w:u w:val="single"/>
    </w:rPr>
  </w:style>
  <w:style w:type="character" w:styleId="UnresolvedMention">
    <w:name w:val="Unresolved Mention"/>
    <w:basedOn w:val="DefaultParagraphFont"/>
    <w:uiPriority w:val="99"/>
    <w:semiHidden/>
    <w:unhideWhenUsed/>
    <w:rsid w:val="00CA6354"/>
    <w:rPr>
      <w:color w:val="808080"/>
      <w:shd w:val="clear" w:color="auto" w:fill="E6E6E6"/>
    </w:rPr>
  </w:style>
  <w:style w:type="paragraph" w:styleId="Caption">
    <w:name w:val="caption"/>
    <w:basedOn w:val="Normal"/>
    <w:next w:val="Normal"/>
    <w:uiPriority w:val="35"/>
    <w:unhideWhenUsed/>
    <w:qFormat/>
    <w:rsid w:val="00D97C4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A6529"/>
    <w:rPr>
      <w:color w:val="808080"/>
    </w:rPr>
  </w:style>
  <w:style w:type="paragraph" w:styleId="Title">
    <w:name w:val="Title"/>
    <w:basedOn w:val="Normal"/>
    <w:next w:val="Normal"/>
    <w:link w:val="TitleChar"/>
    <w:uiPriority w:val="10"/>
    <w:qFormat/>
    <w:rsid w:val="003147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472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733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3309"/>
  </w:style>
  <w:style w:type="paragraph" w:styleId="Footer">
    <w:name w:val="footer"/>
    <w:basedOn w:val="Normal"/>
    <w:link w:val="FooterChar"/>
    <w:uiPriority w:val="99"/>
    <w:unhideWhenUsed/>
    <w:rsid w:val="001733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33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6678241D-DE43-4D7F-A3D0-7FA702867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1860</TotalTime>
  <Pages>4</Pages>
  <Words>486</Words>
  <Characters>2775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Bjørn Fesche</dc:creator>
  <cp:keywords/>
  <dc:description/>
  <cp:lastModifiedBy>Bjørn Fesche</cp:lastModifiedBy>
  <cp:revision>7</cp:revision>
  <cp:lastPrinted>2018-03-13T10:32:00Z</cp:lastPrinted>
  <dcterms:created xsi:type="dcterms:W3CDTF">2018-03-19T10:08:00Z</dcterms:created>
  <dcterms:modified xsi:type="dcterms:W3CDTF">2018-03-26T13:14:00Z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b8405fc6-09da-3465-9ce3-a7d94d51e1ca</vt:lpwstr>
  </property>
  <property fmtid="{D5CDD505-2E9C-101B-9397-08002B2CF9AE}" pid="24" name="Mendeley Citation Style_1">
    <vt:lpwstr>http://www.zotero.org/styles/ieee</vt:lpwstr>
  </property>
</Properties>
</file>