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735C" w14:textId="4E5EF3CF" w:rsidR="00F13D61" w:rsidRDefault="00DD167E">
      <w:r>
        <w:t>Дополнительно отмечаем, что ТСПА с истекшим сроком службы, даже находящиеся в работоспособном состоянии, обладают пониженной надежностью функционирования и с повышенной вероятностью могут не выполнить своего функционального предназначения в критической ситуации. В связи с этим, при отсутствии в технической документации необходимых данных о допустимости продления срока службы, а также при невозможности получить подобное разрешение от производителя, либо при получении отказа от производителя, ТСПА должны быть заменены по истечении срока службы, приведенного в технической документации.</w:t>
      </w:r>
    </w:p>
    <w:sectPr w:rsidR="00F1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2"/>
    <w:rsid w:val="006D4812"/>
    <w:rsid w:val="00DD167E"/>
    <w:rsid w:val="00F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B288"/>
  <w15:chartTrackingRefBased/>
  <w15:docId w15:val="{C1BF893D-3583-4F62-B5ED-37CE5E17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2</cp:revision>
  <dcterms:created xsi:type="dcterms:W3CDTF">2023-12-11T07:52:00Z</dcterms:created>
  <dcterms:modified xsi:type="dcterms:W3CDTF">2023-12-11T07:56:00Z</dcterms:modified>
</cp:coreProperties>
</file>