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t xml:space="preserve">As per Section 4.4.3.14 of the Directive on Service and Digital, “Ensuring computing facilities located within the geographic boundaries of Canada or within the premises of a Government of Canada </w:t>
            </w:r>
            <w:r w:rsidRPr="00FE4D90">
              <w:lastRenderedPageBreak/>
              <w:t>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lastRenderedPageBreak/>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w:t>
            </w:r>
            <w:r w:rsidRPr="00FE4D90">
              <w:rPr>
                <w:bCs/>
                <w:iCs/>
              </w:rPr>
              <w:lastRenderedPageBreak/>
              <w:t>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lastRenderedPageBreak/>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t xml:space="preserve">Leverage an appropriate key management system for the cryptographic protection used in cloud-based services, in accordance with GC Considerations for the Use of Cryptography in Commercial Cloud Services and CCCS guidance </w:t>
            </w:r>
            <w:r w:rsidRPr="67948FC3">
              <w:lastRenderedPageBreak/>
              <w:t xml:space="preserve">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lastRenderedPageBreak/>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lastRenderedPageBreak/>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lastRenderedPageBreak/>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lastRenderedPageBreak/>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lastRenderedPageBreak/>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lastRenderedPageBreak/>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Ensure that cloud workloads are associated with the applicable Application ID in the TBS 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lastRenderedPageBreak/>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lastRenderedPageBreak/>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743722"/>
    <w:rsid w:val="008C02D8"/>
    <w:rsid w:val="00A603AF"/>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5586</Words>
  <Characters>31841</Characters>
  <Application>Microsoft Office Word</Application>
  <DocSecurity>0</DocSecurity>
  <Lines>265</Lines>
  <Paragraphs>74</Paragraphs>
  <ScaleCrop>false</ScaleCrop>
  <Company>TBS-SCT</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4</cp:revision>
  <dcterms:created xsi:type="dcterms:W3CDTF">2023-05-19T14:25:00Z</dcterms:created>
  <dcterms:modified xsi:type="dcterms:W3CDTF">2023-05-19T17:58:00Z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