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0861" w14:textId="77777777" w:rsidR="00150CC1" w:rsidRPr="00E21F86" w:rsidRDefault="00150CC1" w:rsidP="00150CC1">
      <w:pPr>
        <w:pStyle w:val="Heading2"/>
      </w:pPr>
      <w:bookmarkStart w:id="0" w:name="_Toc124834866"/>
      <w:bookmarkStart w:id="1" w:name="_Toc134022365"/>
      <w:r w:rsidRPr="00791FC4">
        <w:rPr>
          <w:rFonts w:eastAsia="Calibri"/>
        </w:rPr>
        <w:t>Guardrail #1 –</w:t>
      </w:r>
      <w:bookmarkEnd w:id="0"/>
      <w:r w:rsidRPr="00791FC4">
        <w:rPr>
          <w:rStyle w:val="Hyperlink"/>
          <w:rFonts w:ascii="-apple-system" w:hAnsi="-apple-system"/>
          <w:shd w:val="clear" w:color="auto" w:fill="FFFFFF"/>
        </w:rPr>
        <w:t xml:space="preserve"> </w:t>
      </w:r>
      <w:r w:rsidRPr="004C70C1">
        <w:t>Protect</w:t>
      </w:r>
      <w:r w:rsidRPr="00A1114B">
        <w:t xml:space="preserve"> </w:t>
      </w:r>
      <w:r>
        <w:t xml:space="preserve">user </w:t>
      </w:r>
      <w:r w:rsidRPr="00A1114B">
        <w:t>account</w:t>
      </w:r>
      <w:r>
        <w:t xml:space="preserve">s and </w:t>
      </w:r>
      <w:proofErr w:type="gramStart"/>
      <w:r>
        <w:t>identities</w:t>
      </w:r>
      <w:bookmarkEnd w:id="1"/>
      <w:proofErr w:type="gramEnd"/>
      <w: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150CC1" w:rsidRPr="007246AD" w14:paraId="33F540AE" w14:textId="77777777" w:rsidTr="00C96B31">
        <w:trPr>
          <w:trHeight w:val="646"/>
        </w:trPr>
        <w:tc>
          <w:tcPr>
            <w:tcW w:w="5000" w:type="pct"/>
            <w:gridSpan w:val="2"/>
            <w:shd w:val="clear" w:color="auto" w:fill="44546A" w:themeFill="text2"/>
          </w:tcPr>
          <w:p w14:paraId="2E5953EC" w14:textId="77777777" w:rsidR="00150CC1" w:rsidRPr="00F51009" w:rsidRDefault="00150CC1" w:rsidP="00C96B31">
            <w:pPr>
              <w:spacing w:before="240"/>
              <w:rPr>
                <w:rFonts w:cstheme="minorBidi"/>
                <w:b/>
                <w:bCs/>
                <w:color w:val="FFFFFF" w:themeColor="background1"/>
              </w:rPr>
            </w:pPr>
            <w:r w:rsidRPr="51437325">
              <w:rPr>
                <w:rFonts w:cstheme="minorBidi"/>
                <w:b/>
                <w:bCs/>
                <w:color w:val="FFFFFF" w:themeColor="background1"/>
              </w:rPr>
              <w:t xml:space="preserve">Objective: </w:t>
            </w:r>
            <w:r w:rsidRPr="51437325">
              <w:rPr>
                <w:rFonts w:cstheme="minorBidi"/>
              </w:rPr>
              <w:t xml:space="preserve"> </w:t>
            </w:r>
            <w:r w:rsidRPr="51437325">
              <w:rPr>
                <w:rFonts w:cstheme="minorBidi"/>
                <w:color w:val="FFFFFF" w:themeColor="background1"/>
              </w:rPr>
              <w:t xml:space="preserve">Protect user accounts and identities. </w:t>
            </w:r>
          </w:p>
        </w:tc>
      </w:tr>
      <w:tr w:rsidR="00150CC1" w:rsidRPr="007246AD" w14:paraId="573C4AEB" w14:textId="77777777" w:rsidTr="00C96B31">
        <w:trPr>
          <w:trHeight w:val="411"/>
        </w:trPr>
        <w:tc>
          <w:tcPr>
            <w:tcW w:w="5000" w:type="pct"/>
            <w:gridSpan w:val="2"/>
            <w:shd w:val="clear" w:color="auto" w:fill="D9D9D9" w:themeFill="background1" w:themeFillShade="D9"/>
          </w:tcPr>
          <w:p w14:paraId="62BF12AC" w14:textId="77777777" w:rsidR="00150CC1" w:rsidRPr="00F51009" w:rsidRDefault="00150CC1" w:rsidP="00C96B31">
            <w:pPr>
              <w:pStyle w:val="TableTask"/>
              <w:rPr>
                <w:rFonts w:cstheme="minorHAnsi"/>
                <w:b/>
                <w:iCs/>
              </w:rPr>
            </w:pPr>
            <w:r w:rsidRPr="00F51009">
              <w:rPr>
                <w:rFonts w:cstheme="minorHAnsi"/>
                <w:b/>
                <w:iCs/>
              </w:rPr>
              <w:t xml:space="preserve">Applicable Service Models: </w:t>
            </w:r>
            <w:r w:rsidRPr="00F51009">
              <w:rPr>
                <w:rFonts w:cstheme="minorHAnsi"/>
                <w:bCs/>
                <w:iCs/>
              </w:rPr>
              <w:t>IaaS, PaaS, SaaS</w:t>
            </w:r>
          </w:p>
        </w:tc>
      </w:tr>
      <w:tr w:rsidR="00150CC1" w:rsidRPr="004B17A3" w14:paraId="6C802F6C" w14:textId="77777777" w:rsidTr="00C96B31">
        <w:trPr>
          <w:trHeight w:val="371"/>
        </w:trPr>
        <w:tc>
          <w:tcPr>
            <w:tcW w:w="2500" w:type="pct"/>
            <w:shd w:val="clear" w:color="auto" w:fill="D9D9D9" w:themeFill="background1" w:themeFillShade="D9"/>
          </w:tcPr>
          <w:p w14:paraId="3F12EB91" w14:textId="77777777" w:rsidR="00150CC1" w:rsidRPr="00512D28" w:rsidRDefault="00150CC1" w:rsidP="00C96B31">
            <w:pPr>
              <w:spacing w:before="240"/>
              <w:rPr>
                <w:rFonts w:cstheme="minorHAnsi"/>
                <w:b/>
                <w:bCs/>
              </w:rPr>
            </w:pPr>
            <w:r w:rsidRPr="00512D28">
              <w:rPr>
                <w:rFonts w:cstheme="minorHAnsi"/>
                <w:b/>
                <w:bCs/>
              </w:rPr>
              <w:t>Mandatory Requirements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14:paraId="53E3FD7B" w14:textId="77777777" w:rsidR="00150CC1" w:rsidRPr="00512D28" w:rsidRDefault="00150CC1" w:rsidP="00C96B31">
            <w:pPr>
              <w:spacing w:before="240"/>
              <w:rPr>
                <w:rFonts w:cstheme="minorHAnsi"/>
                <w:b/>
                <w:bCs/>
              </w:rPr>
            </w:pPr>
            <w:r w:rsidRPr="00512D28">
              <w:rPr>
                <w:rFonts w:cstheme="minorHAnsi"/>
                <w:b/>
                <w:bCs/>
              </w:rPr>
              <w:t>Validation</w:t>
            </w:r>
          </w:p>
        </w:tc>
      </w:tr>
      <w:tr w:rsidR="00150CC1" w:rsidRPr="004B17A3" w14:paraId="213E41CA" w14:textId="77777777" w:rsidTr="00C96B31">
        <w:trPr>
          <w:trHeight w:val="70"/>
        </w:trPr>
        <w:tc>
          <w:tcPr>
            <w:tcW w:w="2500" w:type="pct"/>
          </w:tcPr>
          <w:p w14:paraId="0CA836FA" w14:textId="77777777" w:rsidR="00150CC1" w:rsidRPr="007246AD" w:rsidRDefault="00150CC1" w:rsidP="00150CC1">
            <w:pPr>
              <w:pStyle w:val="ListParagraph"/>
              <w:numPr>
                <w:ilvl w:val="0"/>
                <w:numId w:val="3"/>
              </w:numPr>
              <w:rPr>
                <w:rFonts w:cstheme="minorBidi"/>
                <w:color w:val="333333"/>
                <w:shd w:val="clear" w:color="auto" w:fill="FFFFFF"/>
              </w:rPr>
            </w:pPr>
            <w:r w:rsidRPr="00052287">
              <w:rPr>
                <w:rFonts w:cstheme="minorBidi"/>
                <w:color w:val="333333"/>
              </w:rPr>
              <w:t>Implement strong multi-factor authentication (MFA) for all user accounts. Use phishing resistant MFA where and when available.</w:t>
            </w:r>
          </w:p>
          <w:p w14:paraId="2C51C84C" w14:textId="77777777" w:rsidR="00150CC1" w:rsidRPr="00306B63" w:rsidRDefault="00150CC1" w:rsidP="00C96B31">
            <w:pPr>
              <w:spacing w:after="0"/>
              <w:rPr>
                <w:rFonts w:cstheme="minorHAnsi"/>
                <w:i/>
                <w:iCs/>
              </w:rPr>
            </w:pPr>
            <w:r w:rsidRPr="00306B63">
              <w:rPr>
                <w:rFonts w:cstheme="minorHAnsi"/>
                <w:i/>
                <w:iCs/>
                <w:color w:val="000000" w:themeColor="text1"/>
              </w:rPr>
              <w:t xml:space="preserve">(Note: </w:t>
            </w:r>
            <w:r w:rsidRPr="00306B63">
              <w:rPr>
                <w:rFonts w:cstheme="minorHAnsi"/>
                <w:i/>
                <w:iCs/>
              </w:rPr>
              <w:t>User accounts and identities include:</w:t>
            </w:r>
          </w:p>
          <w:p w14:paraId="587DDD48" w14:textId="77777777" w:rsidR="00150CC1" w:rsidRPr="00306B63" w:rsidRDefault="00150CC1" w:rsidP="00150CC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inorHAnsi" w:hAnsiTheme="minorHAnsi" w:cstheme="minorBidi"/>
                <w:i/>
                <w:iCs/>
              </w:rPr>
            </w:pPr>
            <w:r w:rsidRPr="67948FC3">
              <w:rPr>
                <w:rFonts w:asciiTheme="minorHAnsi" w:hAnsiTheme="minorHAnsi" w:cstheme="minorBidi"/>
                <w:i/>
                <w:iCs/>
              </w:rPr>
              <w:t>Root/Global administrator (as it is one that that has enhanced/highest level of privileges over the control plane and addresses all aspects of access control).</w:t>
            </w:r>
          </w:p>
          <w:p w14:paraId="6F9EEC8B" w14:textId="77777777" w:rsidR="00150CC1" w:rsidRPr="00306B63" w:rsidRDefault="00150CC1" w:rsidP="00150CC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inorHAnsi" w:hAnsiTheme="minorHAnsi" w:cstheme="minorBidi"/>
                <w:i/>
                <w:iCs/>
              </w:rPr>
            </w:pPr>
            <w:r w:rsidRPr="67948FC3">
              <w:rPr>
                <w:rFonts w:asciiTheme="minorHAnsi" w:hAnsiTheme="minorHAnsi" w:cstheme="minorBidi"/>
                <w:i/>
                <w:iCs/>
              </w:rPr>
              <w:t xml:space="preserve">Other Administrative user accounts. Refer to Section 4 of </w:t>
            </w:r>
            <w:r w:rsidRPr="67948FC3">
              <w:rPr>
                <w:rFonts w:asciiTheme="minorHAnsi" w:hAnsiTheme="minorHAnsi" w:cstheme="minorBidi"/>
                <w:i/>
                <w:iCs/>
                <w:sz w:val="18"/>
                <w:szCs w:val="18"/>
              </w:rPr>
              <w:t>the “</w:t>
            </w:r>
            <w:hyperlink r:id="rId5" w:history="1">
              <w:r w:rsidRPr="67948FC3">
                <w:rPr>
                  <w:rStyle w:val="Hyperlink"/>
                  <w:i/>
                  <w:iCs/>
                  <w:sz w:val="18"/>
                  <w:szCs w:val="18"/>
                </w:rPr>
                <w:t>Directive on Service and Digital- Canada.ca</w:t>
              </w:r>
            </w:hyperlink>
            <w:r w:rsidRPr="67948FC3">
              <w:rPr>
                <w:i/>
                <w:iCs/>
                <w:sz w:val="18"/>
                <w:szCs w:val="18"/>
              </w:rPr>
              <w:t xml:space="preserve">, </w:t>
            </w:r>
            <w:hyperlink r:id="rId6" w:history="1">
              <w:r w:rsidRPr="67948FC3">
                <w:rPr>
                  <w:rStyle w:val="Hyperlink"/>
                  <w:i/>
                  <w:iCs/>
                  <w:sz w:val="18"/>
                  <w:szCs w:val="18"/>
                </w:rPr>
                <w:t>Appendix G: Standard on Enterprise Information Technology Service Common Configurations- Canada.ca</w:t>
              </w:r>
            </w:hyperlink>
            <w:r w:rsidRPr="67948FC3">
              <w:rPr>
                <w:i/>
                <w:iCs/>
                <w:sz w:val="18"/>
                <w:szCs w:val="18"/>
              </w:rPr>
              <w:t xml:space="preserve"> - </w:t>
            </w:r>
            <w:hyperlink r:id="rId7" w:history="1">
              <w:r w:rsidRPr="67948FC3">
                <w:rPr>
                  <w:rStyle w:val="Hyperlink"/>
                  <w:i/>
                  <w:iCs/>
                  <w:sz w:val="18"/>
                  <w:szCs w:val="18"/>
                </w:rPr>
                <w:t>Account Management Configuration Requirements - Canada.ca</w:t>
              </w:r>
            </w:hyperlink>
            <w:r w:rsidRPr="67948FC3">
              <w:rPr>
                <w:rFonts w:asciiTheme="minorHAnsi" w:hAnsiTheme="minorHAnsi" w:cstheme="minorBidi"/>
                <w:i/>
                <w:iCs/>
              </w:rPr>
              <w:t xml:space="preserve">” </w:t>
            </w:r>
            <w:bookmarkStart w:id="2" w:name="_Int_XYrkpS8w"/>
            <w:r w:rsidRPr="67948FC3">
              <w:rPr>
                <w:rFonts w:asciiTheme="minorHAnsi" w:hAnsiTheme="minorHAnsi" w:cstheme="minorBidi"/>
                <w:i/>
                <w:iCs/>
              </w:rPr>
              <w:t>for</w:t>
            </w:r>
            <w:bookmarkEnd w:id="2"/>
            <w:r w:rsidRPr="67948FC3">
              <w:rPr>
                <w:rFonts w:asciiTheme="minorHAnsi" w:hAnsiTheme="minorHAnsi" w:cstheme="minorBidi"/>
                <w:i/>
                <w:iCs/>
              </w:rPr>
              <w:t xml:space="preserve"> the definition of privileged accounts.</w:t>
            </w:r>
          </w:p>
          <w:p w14:paraId="3EE58516" w14:textId="77777777" w:rsidR="00150CC1" w:rsidRPr="00306B63" w:rsidDel="003A39DF" w:rsidRDefault="00150CC1" w:rsidP="00150CC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cstheme="minorHAnsi"/>
                <w:b/>
                <w:iCs/>
              </w:rPr>
            </w:pPr>
            <w:r w:rsidRPr="008F18F3">
              <w:rPr>
                <w:rFonts w:cstheme="minorHAnsi"/>
                <w:bCs/>
                <w:i/>
                <w:iCs/>
              </w:rPr>
              <w:t>Regular user accounts)</w:t>
            </w:r>
            <w:r w:rsidRPr="007246AD">
              <w:rPr>
                <w:rFonts w:cstheme="minorHAnsi"/>
              </w:rPr>
              <w:t xml:space="preserve"> </w:t>
            </w:r>
          </w:p>
        </w:tc>
        <w:tc>
          <w:tcPr>
            <w:tcW w:w="2500" w:type="pct"/>
          </w:tcPr>
          <w:p w14:paraId="062F68C0" w14:textId="77777777" w:rsidR="00150CC1" w:rsidRDefault="00150CC1" w:rsidP="00150CC1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cstheme="minorBidi"/>
              </w:rPr>
            </w:pPr>
            <w:r w:rsidRPr="470AAD9D">
              <w:rPr>
                <w:rFonts w:cstheme="minorBidi"/>
              </w:rPr>
              <w:t>Confirm that MFA is implemented as per GC guidance through screenshots, compliance reports, or compliance check enabled through a reporting tool for all user accounts.</w:t>
            </w:r>
          </w:p>
          <w:p w14:paraId="63D2335D" w14:textId="77777777" w:rsidR="00150CC1" w:rsidRDefault="00150CC1" w:rsidP="00C96B31">
            <w:pPr>
              <w:spacing w:after="0"/>
              <w:rPr>
                <w:rFonts w:cstheme="minorBidi"/>
              </w:rPr>
            </w:pPr>
          </w:p>
          <w:p w14:paraId="120957AC" w14:textId="77777777" w:rsidR="00150CC1" w:rsidRDefault="00150CC1" w:rsidP="00150CC1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cstheme="minorBidi"/>
              </w:rPr>
            </w:pPr>
            <w:r w:rsidRPr="470AAD9D">
              <w:rPr>
                <w:rFonts w:cstheme="minorBidi"/>
              </w:rPr>
              <w:t>Confirm that digital policies are in place to ensure that MFA configurations are enforced.</w:t>
            </w:r>
          </w:p>
          <w:p w14:paraId="0B750FA5" w14:textId="77777777" w:rsidR="00150CC1" w:rsidRPr="00EF1D1F" w:rsidRDefault="00150CC1" w:rsidP="00C96B31">
            <w:pPr>
              <w:spacing w:before="240"/>
              <w:rPr>
                <w:rFonts w:cstheme="minorHAnsi"/>
                <w:b/>
                <w:iCs/>
              </w:rPr>
            </w:pPr>
          </w:p>
          <w:p w14:paraId="24E5DC39" w14:textId="77777777" w:rsidR="00150CC1" w:rsidRPr="00306B63" w:rsidRDefault="00150CC1" w:rsidP="00150CC1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cstheme="minorHAnsi"/>
                <w:b/>
                <w:iCs/>
              </w:rPr>
            </w:pPr>
            <w:r w:rsidRPr="470AAD9D">
              <w:rPr>
                <w:rFonts w:cstheme="minorBidi"/>
              </w:rPr>
              <w:t>Confirm and report the count of R</w:t>
            </w:r>
            <w:r w:rsidRPr="470AAD9D">
              <w:rPr>
                <w:rFonts w:cstheme="minorBidi"/>
                <w:color w:val="333333"/>
              </w:rPr>
              <w:t xml:space="preserve">oot/Global administrator </w:t>
            </w:r>
            <w:r w:rsidRPr="470AAD9D">
              <w:rPr>
                <w:rFonts w:cstheme="minorBidi"/>
              </w:rPr>
              <w:t xml:space="preserve">registered (should have at least two and no more </w:t>
            </w:r>
            <w:r w:rsidRPr="00150CC1">
              <w:rPr>
                <w:rFonts w:cstheme="minorBidi"/>
              </w:rPr>
              <w:t>than five</w:t>
            </w:r>
            <w:r w:rsidRPr="470AAD9D">
              <w:rPr>
                <w:rFonts w:cstheme="minorBidi"/>
              </w:rPr>
              <w:t>).</w:t>
            </w:r>
          </w:p>
        </w:tc>
      </w:tr>
      <w:tr w:rsidR="00150CC1" w:rsidRPr="004B17A3" w14:paraId="3456A94E" w14:textId="77777777" w:rsidTr="00C96B31">
        <w:trPr>
          <w:trHeight w:val="1550"/>
        </w:trPr>
        <w:tc>
          <w:tcPr>
            <w:tcW w:w="2500" w:type="pct"/>
          </w:tcPr>
          <w:p w14:paraId="6C6E9602" w14:textId="77777777" w:rsidR="00150CC1" w:rsidRPr="00F51009" w:rsidDel="003A39DF" w:rsidRDefault="00150CC1" w:rsidP="00150CC1">
            <w:pPr>
              <w:pStyle w:val="TableTask"/>
              <w:numPr>
                <w:ilvl w:val="0"/>
                <w:numId w:val="2"/>
              </w:numPr>
              <w:rPr>
                <w:rFonts w:cstheme="minorHAnsi"/>
                <w:b/>
                <w:iCs/>
              </w:rPr>
            </w:pPr>
            <w:r w:rsidRPr="00F51009">
              <w:rPr>
                <w:rFonts w:cstheme="minorHAnsi"/>
                <w:color w:val="000000" w:themeColor="text1"/>
              </w:rPr>
              <w:t xml:space="preserve">Configure alerting to ensure the prompt </w:t>
            </w:r>
            <w:r w:rsidRPr="00F51009">
              <w:rPr>
                <w:rFonts w:cstheme="minorHAnsi"/>
                <w:color w:val="000000"/>
              </w:rPr>
              <w:t>detection of a potential compromise, in accordance with the GC Event Logging Guidance.</w:t>
            </w:r>
          </w:p>
        </w:tc>
        <w:tc>
          <w:tcPr>
            <w:tcW w:w="2500" w:type="pct"/>
          </w:tcPr>
          <w:p w14:paraId="697DAA55" w14:textId="77777777" w:rsidR="00150CC1" w:rsidRPr="00F51009" w:rsidRDefault="00150CC1" w:rsidP="00150CC1">
            <w:pPr>
              <w:pStyle w:val="TableTask"/>
              <w:numPr>
                <w:ilvl w:val="0"/>
                <w:numId w:val="3"/>
              </w:numPr>
              <w:rPr>
                <w:rFonts w:cstheme="minorHAnsi"/>
                <w:bCs/>
                <w:iCs/>
              </w:rPr>
            </w:pPr>
            <w:r w:rsidRPr="00F51009">
              <w:rPr>
                <w:rFonts w:cstheme="minorHAnsi"/>
                <w:bCs/>
                <w:iCs/>
              </w:rPr>
              <w:t xml:space="preserve">Confirm if monitoring and auditing is implemented for all user accounts. </w:t>
            </w:r>
          </w:p>
          <w:p w14:paraId="14FC7664" w14:textId="77777777" w:rsidR="00150CC1" w:rsidRPr="00F51009" w:rsidRDefault="00150CC1" w:rsidP="00150CC1">
            <w:pPr>
              <w:pStyle w:val="TableTask"/>
              <w:numPr>
                <w:ilvl w:val="0"/>
                <w:numId w:val="3"/>
              </w:numPr>
              <w:rPr>
                <w:rFonts w:cstheme="minorHAnsi"/>
                <w:b/>
                <w:iCs/>
              </w:rPr>
            </w:pPr>
            <w:r w:rsidRPr="51437325">
              <w:t>Confirm alert notification to the authorized personnel is implemented for flagging misuse, suspicious</w:t>
            </w:r>
            <w:r>
              <w:t xml:space="preserve"> </w:t>
            </w:r>
            <w:proofErr w:type="gramStart"/>
            <w:r>
              <w:t xml:space="preserve">activities </w:t>
            </w:r>
            <w:r w:rsidRPr="51437325">
              <w:t>,</w:t>
            </w:r>
            <w:proofErr w:type="gramEnd"/>
            <w:r>
              <w:t xml:space="preserve"> for all user accounts.</w:t>
            </w:r>
          </w:p>
        </w:tc>
      </w:tr>
      <w:tr w:rsidR="00150CC1" w:rsidRPr="004B17A3" w14:paraId="3DD7EB0A" w14:textId="77777777" w:rsidTr="00C96B31">
        <w:trPr>
          <w:trHeight w:val="1020"/>
        </w:trPr>
        <w:tc>
          <w:tcPr>
            <w:tcW w:w="2500" w:type="pct"/>
          </w:tcPr>
          <w:p w14:paraId="7BA9DA0B" w14:textId="77777777" w:rsidR="00150CC1" w:rsidRPr="009A2183" w:rsidDel="003A39DF" w:rsidRDefault="00150CC1" w:rsidP="00150CC1">
            <w:pPr>
              <w:pStyle w:val="TableTask"/>
              <w:numPr>
                <w:ilvl w:val="0"/>
                <w:numId w:val="2"/>
              </w:numPr>
              <w:rPr>
                <w:b/>
                <w:bCs/>
              </w:rPr>
            </w:pPr>
            <w:r w:rsidRPr="007558BF">
              <w:rPr>
                <w:color w:val="000000" w:themeColor="text1"/>
              </w:rPr>
              <w:t>Use separate dedicated accounts for highly privileged roles (</w:t>
            </w:r>
            <w:proofErr w:type="gramStart"/>
            <w:r w:rsidRPr="007558BF">
              <w:rPr>
                <w:color w:val="000000" w:themeColor="text1"/>
              </w:rPr>
              <w:t>e.g.</w:t>
            </w:r>
            <w:proofErr w:type="gramEnd"/>
            <w:r w:rsidRPr="007558BF">
              <w:rPr>
                <w:color w:val="000000" w:themeColor="text1"/>
              </w:rPr>
              <w:t xml:space="preserve"> domain admins, global admins, root, and any domain admin equivalent access) when administering cloud services to minimize the blast radius.</w:t>
            </w:r>
          </w:p>
        </w:tc>
        <w:tc>
          <w:tcPr>
            <w:tcW w:w="2500" w:type="pct"/>
          </w:tcPr>
          <w:p w14:paraId="3E1EC77D" w14:textId="77777777" w:rsidR="00150CC1" w:rsidRPr="009A2183" w:rsidRDefault="00150CC1" w:rsidP="00150CC1">
            <w:pPr>
              <w:pStyle w:val="TableTask"/>
              <w:numPr>
                <w:ilvl w:val="0"/>
                <w:numId w:val="2"/>
              </w:numPr>
              <w:rPr>
                <w:b/>
                <w:bCs/>
              </w:rPr>
            </w:pPr>
            <w:r w:rsidRPr="009A2183">
              <w:t>Provide evidence that dedicated user accounts are used for administration (e.g., privileged access).</w:t>
            </w:r>
          </w:p>
        </w:tc>
      </w:tr>
      <w:tr w:rsidR="00150CC1" w:rsidRPr="007246AD" w14:paraId="5C3E6F61" w14:textId="77777777" w:rsidTr="00C96B31">
        <w:tc>
          <w:tcPr>
            <w:tcW w:w="5000" w:type="pct"/>
            <w:gridSpan w:val="2"/>
            <w:shd w:val="clear" w:color="auto" w:fill="D9D9D9" w:themeFill="background1" w:themeFillShade="D9"/>
          </w:tcPr>
          <w:p w14:paraId="1F60B64D" w14:textId="77777777" w:rsidR="00150CC1" w:rsidRPr="00F51009" w:rsidRDefault="00150CC1" w:rsidP="00C96B31">
            <w:pPr>
              <w:pStyle w:val="TableTask"/>
              <w:rPr>
                <w:rFonts w:cstheme="minorHAnsi"/>
                <w:b/>
                <w:iCs/>
              </w:rPr>
            </w:pPr>
            <w:r w:rsidRPr="00F51009">
              <w:rPr>
                <w:rFonts w:cstheme="minorHAnsi"/>
                <w:b/>
                <w:iCs/>
              </w:rPr>
              <w:t xml:space="preserve"> Additional Considerations</w:t>
            </w:r>
            <w:r>
              <w:rPr>
                <w:rFonts w:cstheme="minorHAnsi"/>
                <w:b/>
                <w:iCs/>
              </w:rPr>
              <w:t xml:space="preserve"> </w:t>
            </w:r>
            <w:r>
              <w:rPr>
                <w:rFonts w:cstheme="minorHAnsi"/>
                <w:bCs/>
                <w:iCs/>
              </w:rPr>
              <w:t xml:space="preserve"> </w:t>
            </w:r>
          </w:p>
        </w:tc>
      </w:tr>
      <w:tr w:rsidR="00150CC1" w:rsidRPr="005F32E2" w14:paraId="5B454815" w14:textId="77777777" w:rsidTr="00C96B31">
        <w:tc>
          <w:tcPr>
            <w:tcW w:w="5000" w:type="pct"/>
            <w:gridSpan w:val="2"/>
            <w:shd w:val="clear" w:color="auto" w:fill="auto"/>
          </w:tcPr>
          <w:p w14:paraId="6243BA0C" w14:textId="77777777" w:rsidR="00150CC1" w:rsidRPr="00F51009" w:rsidDel="000230E7" w:rsidRDefault="00150CC1" w:rsidP="00C96B31">
            <w:pPr>
              <w:pStyle w:val="TableTask"/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>None</w:t>
            </w:r>
          </w:p>
        </w:tc>
      </w:tr>
      <w:tr w:rsidR="00150CC1" w:rsidRPr="00405B1F" w14:paraId="4A2D760E" w14:textId="77777777" w:rsidTr="00C96B31">
        <w:tc>
          <w:tcPr>
            <w:tcW w:w="5000" w:type="pct"/>
            <w:gridSpan w:val="2"/>
          </w:tcPr>
          <w:p w14:paraId="0BEB32C9" w14:textId="77777777" w:rsidR="00150CC1" w:rsidRPr="00405B1F" w:rsidRDefault="00150CC1" w:rsidP="00C96B31">
            <w:pPr>
              <w:pStyle w:val="TableText"/>
              <w:rPr>
                <w:rStyle w:val="Hyperlink"/>
                <w:rFonts w:cstheme="minorHAnsi"/>
                <w:b/>
                <w:iCs/>
              </w:rPr>
            </w:pPr>
            <w:r w:rsidRPr="00405B1F">
              <w:rPr>
                <w:rFonts w:cstheme="minorHAnsi"/>
                <w:b/>
                <w:iCs/>
              </w:rPr>
              <w:t>References</w:t>
            </w:r>
          </w:p>
          <w:p w14:paraId="590804BC" w14:textId="77777777" w:rsidR="00150CC1" w:rsidRPr="00405B1F" w:rsidRDefault="00150CC1" w:rsidP="00150CC1">
            <w:pPr>
              <w:pStyle w:val="TableText"/>
              <w:numPr>
                <w:ilvl w:val="0"/>
                <w:numId w:val="6"/>
              </w:numPr>
              <w:rPr>
                <w:rFonts w:cstheme="minorHAnsi"/>
              </w:rPr>
            </w:pPr>
            <w:hyperlink r:id="rId8" w:history="1">
              <w:hyperlink r:id="rId9" w:history="1">
                <w:r w:rsidRPr="00405B1F">
                  <w:rPr>
                    <w:rStyle w:val="Hyperlink"/>
                    <w:rFonts w:cstheme="minorHAnsi"/>
                  </w:rPr>
                  <w:t>SPIN 2017-01</w:t>
                </w:r>
              </w:hyperlink>
            </w:hyperlink>
            <w:r w:rsidRPr="00405B1F">
              <w:rPr>
                <w:rFonts w:cstheme="minorHAnsi"/>
              </w:rPr>
              <w:t>, subsection 6.2.3</w:t>
            </w:r>
          </w:p>
          <w:p w14:paraId="23AA9796" w14:textId="77777777" w:rsidR="00150CC1" w:rsidRPr="00405B1F" w:rsidRDefault="00150CC1" w:rsidP="00150CC1">
            <w:pPr>
              <w:pStyle w:val="TableText"/>
              <w:numPr>
                <w:ilvl w:val="0"/>
                <w:numId w:val="6"/>
              </w:numPr>
              <w:rPr>
                <w:rFonts w:cstheme="minorHAnsi"/>
              </w:rPr>
            </w:pPr>
            <w:r w:rsidRPr="00405B1F">
              <w:rPr>
                <w:rFonts w:cstheme="minorHAnsi"/>
                <w:color w:val="000000"/>
              </w:rPr>
              <w:t>CSE Top 10 #3</w:t>
            </w:r>
          </w:p>
          <w:p w14:paraId="62860F8F" w14:textId="77777777" w:rsidR="00150CC1" w:rsidRPr="00405B1F" w:rsidRDefault="00150CC1" w:rsidP="00150CC1">
            <w:pPr>
              <w:pStyle w:val="TableText"/>
              <w:numPr>
                <w:ilvl w:val="0"/>
                <w:numId w:val="6"/>
              </w:numPr>
              <w:rPr>
                <w:rStyle w:val="Hyperlink"/>
                <w:rFonts w:cstheme="minorHAnsi"/>
              </w:rPr>
            </w:pPr>
            <w:r w:rsidRPr="00405B1F">
              <w:rPr>
                <w:rFonts w:cstheme="minorHAnsi"/>
              </w:rPr>
              <w:t>Refer to the</w:t>
            </w:r>
            <w:r w:rsidRPr="00405B1F">
              <w:rPr>
                <w:rFonts w:cstheme="minorHAnsi"/>
                <w:u w:val="single"/>
              </w:rPr>
              <w:t xml:space="preserve"> </w:t>
            </w:r>
            <w:hyperlink r:id="rId10" w:history="1">
              <w:r w:rsidRPr="00405B1F">
                <w:rPr>
                  <w:rStyle w:val="Hyperlink"/>
                  <w:rFonts w:cstheme="minorHAnsi"/>
                </w:rPr>
                <w:t xml:space="preserve">Recommendations for Two-Factor User Authentication Within the Government of Canada Enterprise </w:t>
              </w:r>
            </w:hyperlink>
            <w:hyperlink r:id="rId11" w:history="1">
              <w:r w:rsidRPr="00405B1F">
                <w:rPr>
                  <w:rStyle w:val="Hyperlink"/>
                  <w:rFonts w:cstheme="minorHAnsi"/>
                </w:rPr>
                <w:t>Domain</w:t>
              </w:r>
            </w:hyperlink>
          </w:p>
          <w:p w14:paraId="4C0FD862" w14:textId="77777777" w:rsidR="00150CC1" w:rsidRPr="00405B1F" w:rsidRDefault="00150CC1" w:rsidP="00150CC1">
            <w:pPr>
              <w:pStyle w:val="TableText"/>
              <w:numPr>
                <w:ilvl w:val="0"/>
                <w:numId w:val="6"/>
              </w:numPr>
              <w:rPr>
                <w:rFonts w:cstheme="minorHAnsi"/>
              </w:rPr>
            </w:pPr>
            <w:r w:rsidRPr="00405B1F">
              <w:rPr>
                <w:rStyle w:val="Hyperlink"/>
                <w:rFonts w:cstheme="minorHAnsi"/>
              </w:rPr>
              <w:lastRenderedPageBreak/>
              <w:t xml:space="preserve">Refer to the </w:t>
            </w:r>
            <w:r w:rsidRPr="00405B1F">
              <w:rPr>
                <w:rFonts w:cstheme="minorHAnsi"/>
                <w:lang w:val="en"/>
              </w:rPr>
              <w:t xml:space="preserve"> </w:t>
            </w:r>
            <w:hyperlink r:id="rId12" w:tooltip="GC MFA Strategy.pdf" w:history="1">
              <w:r w:rsidRPr="00405B1F">
                <w:rPr>
                  <w:rStyle w:val="Hyperlink"/>
                  <w:rFonts w:cstheme="minorHAnsi"/>
                  <w:lang w:val="en"/>
                </w:rPr>
                <w:t>GC Multi-Factor Authentication (MFA) Strategy Paper</w:t>
              </w:r>
            </w:hyperlink>
          </w:p>
          <w:p w14:paraId="16ED15F9" w14:textId="77777777" w:rsidR="00150CC1" w:rsidRPr="008B223F" w:rsidRDefault="00150CC1" w:rsidP="00150CC1">
            <w:pPr>
              <w:pStyle w:val="TableText"/>
              <w:numPr>
                <w:ilvl w:val="0"/>
                <w:numId w:val="6"/>
              </w:numPr>
              <w:rPr>
                <w:rStyle w:val="Hyperlink"/>
                <w:rFonts w:cstheme="minorHAnsi"/>
              </w:rPr>
            </w:pPr>
            <w:r w:rsidRPr="00405B1F">
              <w:t xml:space="preserve">Refer to the </w:t>
            </w:r>
            <w:hyperlink r:id="rId13" w:history="1">
              <w:r w:rsidRPr="00405B1F">
                <w:rPr>
                  <w:rStyle w:val="Hyperlink"/>
                </w:rPr>
                <w:t>Directive on Service and Digital</w:t>
              </w:r>
            </w:hyperlink>
            <w:r w:rsidRPr="00405B1F">
              <w:t xml:space="preserve">, </w:t>
            </w:r>
            <w:hyperlink r:id="rId14" w:history="1">
              <w:r w:rsidRPr="00405B1F">
                <w:rPr>
                  <w:rStyle w:val="Hyperlink"/>
                </w:rPr>
                <w:t>Appendix G: Standard on Enterprise Information Technology Service Common Configurations</w:t>
              </w:r>
            </w:hyperlink>
            <w:r w:rsidRPr="00405B1F">
              <w:t xml:space="preserve"> - </w:t>
            </w:r>
            <w:hyperlink r:id="rId15" w:history="1">
              <w:r w:rsidRPr="00405B1F">
                <w:rPr>
                  <w:rStyle w:val="Hyperlink"/>
                </w:rPr>
                <w:t>Account Management Configuration Requirements</w:t>
              </w:r>
            </w:hyperlink>
          </w:p>
          <w:p w14:paraId="2070BA4A" w14:textId="77777777" w:rsidR="00150CC1" w:rsidRPr="008B223F" w:rsidRDefault="00150CC1" w:rsidP="00150CC1">
            <w:pPr>
              <w:pStyle w:val="TableText"/>
              <w:numPr>
                <w:ilvl w:val="0"/>
                <w:numId w:val="6"/>
              </w:numPr>
              <w:rPr>
                <w:rStyle w:val="Hyperlink"/>
                <w:rFonts w:cstheme="minorHAnsi"/>
                <w:b/>
                <w:iCs/>
                <w:lang w:val="en-US"/>
              </w:rPr>
            </w:pPr>
            <w:r w:rsidRPr="00405B1F">
              <w:rPr>
                <w:rFonts w:cstheme="minorBidi"/>
              </w:rPr>
              <w:t xml:space="preserve">Refer to the </w:t>
            </w:r>
            <w:hyperlink r:id="rId16">
              <w:r w:rsidRPr="00405B1F">
                <w:rPr>
                  <w:rStyle w:val="Hyperlink"/>
                  <w:rFonts w:cstheme="minorBidi"/>
                </w:rPr>
                <w:t xml:space="preserve">GC Event Logging </w:t>
              </w:r>
            </w:hyperlink>
            <w:hyperlink r:id="rId17">
              <w:r w:rsidRPr="00405B1F">
                <w:rPr>
                  <w:rStyle w:val="Hyperlink"/>
                  <w:rFonts w:cstheme="minorBidi"/>
                </w:rPr>
                <w:t>Guidance</w:t>
              </w:r>
            </w:hyperlink>
          </w:p>
          <w:p w14:paraId="1FA771A4" w14:textId="77777777" w:rsidR="00150CC1" w:rsidRPr="000F26F0" w:rsidRDefault="00150CC1" w:rsidP="00150CC1">
            <w:pPr>
              <w:pStyle w:val="TableText"/>
              <w:numPr>
                <w:ilvl w:val="0"/>
                <w:numId w:val="6"/>
              </w:numPr>
              <w:rPr>
                <w:rFonts w:cstheme="minorHAnsi"/>
              </w:rPr>
            </w:pPr>
            <w:r w:rsidRPr="00CF022B">
              <w:rPr>
                <w:rFonts w:ascii="Calibri" w:hAnsi="Calibri" w:cs="Calibri"/>
              </w:rPr>
              <w:t xml:space="preserve">Refer to </w:t>
            </w:r>
            <w:hyperlink r:id="rId18" w:history="1">
              <w:r w:rsidRPr="00317956">
                <w:rPr>
                  <w:rStyle w:val="Hyperlink"/>
                </w:rPr>
                <w:t>ITSP.50.104 Guidance on defence in depth for cloud-based services</w:t>
              </w:r>
              <w:r>
                <w:rPr>
                  <w:rStyle w:val="Hyperlink"/>
                </w:rPr>
                <w:t xml:space="preserve">, </w:t>
              </w:r>
            </w:hyperlink>
            <w:r w:rsidRPr="00317956">
              <w:t>subsection 4.</w:t>
            </w:r>
            <w:r>
              <w:t>6</w:t>
            </w:r>
          </w:p>
          <w:p w14:paraId="75BF625D" w14:textId="77777777" w:rsidR="00150CC1" w:rsidRPr="008B223F" w:rsidRDefault="00150CC1" w:rsidP="00150CC1">
            <w:pPr>
              <w:pStyle w:val="TableText"/>
              <w:numPr>
                <w:ilvl w:val="0"/>
                <w:numId w:val="6"/>
              </w:numPr>
              <w:rPr>
                <w:rFonts w:cstheme="minorHAnsi"/>
              </w:rPr>
            </w:pPr>
            <w:hyperlink r:id="rId19" w:history="1">
              <w:r w:rsidRPr="2B9655DD">
                <w:rPr>
                  <w:rStyle w:val="Hyperlink"/>
                  <w:rFonts w:cstheme="minorBidi"/>
                </w:rPr>
                <w:t>User authentication guidance for information technology systems (ITSP.30.031 v3)</w:t>
              </w:r>
            </w:hyperlink>
          </w:p>
        </w:tc>
      </w:tr>
      <w:tr w:rsidR="00150CC1" w:rsidRPr="00C96B31" w14:paraId="7560A97E" w14:textId="77777777" w:rsidTr="00C96B31">
        <w:tc>
          <w:tcPr>
            <w:tcW w:w="5000" w:type="pct"/>
            <w:gridSpan w:val="2"/>
          </w:tcPr>
          <w:p w14:paraId="4D16E30F" w14:textId="77777777" w:rsidR="00150CC1" w:rsidRPr="0090438F" w:rsidRDefault="00150CC1" w:rsidP="00C96B31">
            <w:pPr>
              <w:pStyle w:val="TableText"/>
              <w:rPr>
                <w:rFonts w:cstheme="minorHAnsi"/>
              </w:rPr>
            </w:pPr>
            <w:r w:rsidRPr="0090438F">
              <w:rPr>
                <w:rFonts w:cstheme="minorBidi"/>
                <w:b/>
                <w:bCs/>
              </w:rPr>
              <w:lastRenderedPageBreak/>
              <w:t>Related security controls:</w:t>
            </w:r>
            <w:r w:rsidRPr="0090438F">
              <w:rPr>
                <w:rFonts w:cstheme="minorBidi"/>
              </w:rPr>
              <w:t xml:space="preserve"> AC-2, AC-2(11), AC-3, AC-5, AC-6, AC- 6(5), AC- 6(10), AC-19, AC – 20 (3), IA-2, IA-2(1) </w:t>
            </w:r>
          </w:p>
          <w:p w14:paraId="0211867A" w14:textId="77777777" w:rsidR="00150CC1" w:rsidRPr="008B223F" w:rsidRDefault="00150CC1" w:rsidP="00C96B31">
            <w:pPr>
              <w:pStyle w:val="TableText"/>
              <w:rPr>
                <w:rFonts w:cstheme="minorHAnsi"/>
                <w:b/>
                <w:iCs/>
                <w:lang w:val="fr-CA"/>
              </w:rPr>
            </w:pPr>
            <w:r w:rsidRPr="00531534">
              <w:rPr>
                <w:rFonts w:cstheme="minorHAnsi"/>
                <w:iCs/>
                <w:lang w:val="fr-CA"/>
              </w:rPr>
              <w:t>IA - 2(2), IA-2(3), IA – 2(11), IA-5(8), SI-4, SI-4(5), SA-4(12), CM-5.</w:t>
            </w:r>
          </w:p>
        </w:tc>
      </w:tr>
    </w:tbl>
    <w:p w14:paraId="0B5A6978" w14:textId="77777777" w:rsidR="00743722" w:rsidRPr="00150CC1" w:rsidRDefault="00743722">
      <w:pPr>
        <w:rPr>
          <w:lang w:val="fr-CA"/>
        </w:rPr>
      </w:pPr>
    </w:p>
    <w:sectPr w:rsidR="00743722" w:rsidRPr="00150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apple-system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A7134"/>
    <w:multiLevelType w:val="hybridMultilevel"/>
    <w:tmpl w:val="5C5EEF9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1470C2"/>
    <w:multiLevelType w:val="multilevel"/>
    <w:tmpl w:val="843EBC4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1D075D0"/>
    <w:multiLevelType w:val="hybridMultilevel"/>
    <w:tmpl w:val="76B0BA0A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AF10C6"/>
    <w:multiLevelType w:val="hybridMultilevel"/>
    <w:tmpl w:val="D7DCB2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F007B"/>
    <w:multiLevelType w:val="hybridMultilevel"/>
    <w:tmpl w:val="34B6B47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E87208"/>
    <w:multiLevelType w:val="hybridMultilevel"/>
    <w:tmpl w:val="A3428C7A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8112687">
    <w:abstractNumId w:val="1"/>
  </w:num>
  <w:num w:numId="2" w16cid:durableId="522136131">
    <w:abstractNumId w:val="5"/>
  </w:num>
  <w:num w:numId="3" w16cid:durableId="258605157">
    <w:abstractNumId w:val="2"/>
  </w:num>
  <w:num w:numId="4" w16cid:durableId="1343045256">
    <w:abstractNumId w:val="3"/>
  </w:num>
  <w:num w:numId="5" w16cid:durableId="861019316">
    <w:abstractNumId w:val="0"/>
  </w:num>
  <w:num w:numId="6" w16cid:durableId="14441075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D8"/>
    <w:rsid w:val="00121C76"/>
    <w:rsid w:val="00150CC1"/>
    <w:rsid w:val="00743722"/>
    <w:rsid w:val="008C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A5F9"/>
  <w15:chartTrackingRefBased/>
  <w15:docId w15:val="{2AA811F4-5A87-47CB-83A7-6649D8C5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CC1"/>
    <w:pPr>
      <w:spacing w:after="200" w:line="276" w:lineRule="auto"/>
    </w:pPr>
    <w:rPr>
      <w:rFonts w:eastAsia="Times New Roman" w:cs="Times New Roman"/>
      <w:kern w:val="0"/>
      <w:lang w:val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CC1"/>
    <w:pPr>
      <w:keepNext/>
      <w:numPr>
        <w:numId w:val="1"/>
      </w:numPr>
      <w:spacing w:before="960" w:after="360" w:line="240" w:lineRule="auto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0CC1"/>
    <w:pPr>
      <w:keepNext/>
      <w:numPr>
        <w:ilvl w:val="1"/>
        <w:numId w:val="1"/>
      </w:numPr>
      <w:spacing w:before="360" w:line="240" w:lineRule="auto"/>
      <w:outlineLvl w:val="1"/>
    </w:pPr>
    <w:rPr>
      <w:rFonts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150CC1"/>
    <w:pPr>
      <w:keepNext/>
      <w:keepLines/>
      <w:numPr>
        <w:ilvl w:val="2"/>
        <w:numId w:val="1"/>
      </w:numPr>
      <w:spacing w:before="24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150CC1"/>
    <w:pPr>
      <w:keepNext/>
      <w:numPr>
        <w:ilvl w:val="3"/>
        <w:numId w:val="1"/>
      </w:numPr>
      <w:spacing w:before="240" w:after="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150CC1"/>
    <w:pPr>
      <w:keepNext/>
      <w:keepLines/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50CC1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150CC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150CC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150CC1"/>
    <w:pPr>
      <w:numPr>
        <w:ilvl w:val="8"/>
        <w:numId w:val="1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CC1"/>
    <w:rPr>
      <w:rFonts w:eastAsia="Times New Roman" w:cs="Arial"/>
      <w:b/>
      <w:bCs/>
      <w:kern w:val="32"/>
      <w:sz w:val="28"/>
      <w:szCs w:val="32"/>
      <w:lang w:val="en-C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50CC1"/>
    <w:rPr>
      <w:rFonts w:eastAsia="Times New Roman" w:cs="Arial"/>
      <w:b/>
      <w:bCs/>
      <w:iCs/>
      <w:kern w:val="0"/>
      <w:sz w:val="24"/>
      <w:szCs w:val="24"/>
      <w:lang w:val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50CC1"/>
    <w:rPr>
      <w:rFonts w:eastAsia="Times New Roman" w:cs="Arial"/>
      <w:b/>
      <w:bCs/>
      <w:kern w:val="0"/>
      <w:lang w:val="en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50CC1"/>
    <w:rPr>
      <w:rFonts w:ascii="Arial" w:eastAsia="Times New Roman" w:hAnsi="Arial" w:cs="Arial"/>
      <w:b/>
      <w:bCs/>
      <w:kern w:val="0"/>
      <w:lang w:val="en-C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150CC1"/>
    <w:rPr>
      <w:rFonts w:eastAsia="Times New Roman" w:cs="Times New Roman"/>
      <w:b/>
      <w:bCs/>
      <w:i/>
      <w:iCs/>
      <w:kern w:val="0"/>
      <w:szCs w:val="26"/>
      <w:lang w:val="en-C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150CC1"/>
    <w:rPr>
      <w:rFonts w:eastAsia="Times New Roman" w:cs="Times New Roman"/>
      <w:b/>
      <w:bCs/>
      <w:kern w:val="0"/>
      <w:lang w:val="en-CA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150CC1"/>
    <w:rPr>
      <w:rFonts w:eastAsia="Times New Roman" w:cs="Times New Roman"/>
      <w:kern w:val="0"/>
      <w:lang w:val="en-CA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150CC1"/>
    <w:rPr>
      <w:rFonts w:eastAsia="Times New Roman" w:cs="Times New Roman"/>
      <w:i/>
      <w:iCs/>
      <w:kern w:val="0"/>
      <w:lang w:val="en-CA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150CC1"/>
    <w:rPr>
      <w:rFonts w:eastAsia="Times New Roman" w:cs="Times New Roman"/>
      <w:kern w:val="0"/>
      <w:lang w:val="en-CA"/>
      <w14:ligatures w14:val="none"/>
    </w:rPr>
  </w:style>
  <w:style w:type="character" w:styleId="Hyperlink">
    <w:name w:val="Hyperlink"/>
    <w:uiPriority w:val="99"/>
    <w:rsid w:val="00150CC1"/>
    <w:rPr>
      <w:color w:val="0000FF"/>
      <w:u w:val="single"/>
    </w:rPr>
  </w:style>
  <w:style w:type="paragraph" w:customStyle="1" w:styleId="TableText">
    <w:name w:val="Table Text"/>
    <w:basedOn w:val="Normal"/>
    <w:link w:val="TableTextCharChar"/>
    <w:qFormat/>
    <w:rsid w:val="00150CC1"/>
    <w:pPr>
      <w:tabs>
        <w:tab w:val="left" w:pos="360"/>
      </w:tabs>
      <w:spacing w:before="60" w:after="60"/>
    </w:pPr>
    <w:rPr>
      <w:rFonts w:cs="Arial"/>
      <w:snapToGrid w:val="0"/>
      <w:szCs w:val="20"/>
    </w:rPr>
  </w:style>
  <w:style w:type="character" w:customStyle="1" w:styleId="TableTextCharChar">
    <w:name w:val="Table Text Char Char"/>
    <w:link w:val="TableText"/>
    <w:locked/>
    <w:rsid w:val="00150CC1"/>
    <w:rPr>
      <w:rFonts w:eastAsia="Times New Roman" w:cs="Arial"/>
      <w:snapToGrid w:val="0"/>
      <w:kern w:val="0"/>
      <w:szCs w:val="20"/>
      <w:lang w:val="en-CA"/>
      <w14:ligatures w14:val="none"/>
    </w:rPr>
  </w:style>
  <w:style w:type="paragraph" w:styleId="ListParagraph">
    <w:name w:val="List Paragraph"/>
    <w:aliases w:val="List Paragraph - Service Requirements"/>
    <w:basedOn w:val="Normal"/>
    <w:link w:val="ListParagraphChar"/>
    <w:uiPriority w:val="34"/>
    <w:qFormat/>
    <w:rsid w:val="00150CC1"/>
    <w:pPr>
      <w:ind w:left="720"/>
      <w:contextualSpacing/>
    </w:pPr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150C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 w:eastAsia="en-C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- Service Requirements Char"/>
    <w:basedOn w:val="DefaultParagraphFont"/>
    <w:link w:val="ListParagraph"/>
    <w:uiPriority w:val="34"/>
    <w:rsid w:val="00150CC1"/>
    <w:rPr>
      <w:rFonts w:ascii="Calibri" w:eastAsia="Calibri" w:hAnsi="Calibri" w:cs="Times New Roman"/>
      <w:kern w:val="0"/>
      <w:lang w:val="en-CA"/>
      <w14:ligatures w14:val="none"/>
    </w:rPr>
  </w:style>
  <w:style w:type="paragraph" w:customStyle="1" w:styleId="TableTask">
    <w:name w:val="Table Task"/>
    <w:qFormat/>
    <w:rsid w:val="00150CC1"/>
    <w:pPr>
      <w:spacing w:before="120" w:after="120" w:line="240" w:lineRule="auto"/>
      <w:ind w:left="288" w:hanging="288"/>
    </w:pPr>
    <w:rPr>
      <w:kern w:val="0"/>
      <w:lang w:val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ada.ca/en/treasury-board-secretariat/services/access-information-privacy/security-identity-management/direction-secure-use-commercial-cloud-services-spin.html" TargetMode="External"/><Relationship Id="rId13" Type="http://schemas.openxmlformats.org/officeDocument/2006/relationships/hyperlink" Target="https://www.tbs-sct.canada.ca/pol/doc-eng.aspx?id=32601" TargetMode="External"/><Relationship Id="rId18" Type="http://schemas.openxmlformats.org/officeDocument/2006/relationships/hyperlink" Target="https://cyber.gc.ca/en/guidance/itsp50104-guidance-defence-depth-cloud-based-servic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anada.ca/en/government/system/digital-government/policies-standards/enterprise-it-service-common-configurations/account.html" TargetMode="External"/><Relationship Id="rId12" Type="http://schemas.openxmlformats.org/officeDocument/2006/relationships/hyperlink" Target="https://www.gcpedia.gc.ca/gcwiki/images/9/9e/GC_MFA_Strategy.pdf" TargetMode="External"/><Relationship Id="rId17" Type="http://schemas.openxmlformats.org/officeDocument/2006/relationships/hyperlink" Target="https://www.gcpedia.gc.ca/gcwiki/images/e/e3/GC_Event_Logging_Strategy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cpedia.gc.ca/gcwiki/images/e/e3/GC_Event_Logging_Strategy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bs-sct.canada.ca/pol/doc-eng.aspx?id=32713" TargetMode="External"/><Relationship Id="rId11" Type="http://schemas.openxmlformats.org/officeDocument/2006/relationships/hyperlink" Target="https://intranet.canada.ca/wg-tg/rtua-rafu-eng.asp" TargetMode="External"/><Relationship Id="rId5" Type="http://schemas.openxmlformats.org/officeDocument/2006/relationships/hyperlink" Target="https://www.tbs-sct.canada.ca/pol/doc-eng.aspx?id=32601" TargetMode="External"/><Relationship Id="rId15" Type="http://schemas.openxmlformats.org/officeDocument/2006/relationships/hyperlink" Target="https://www.canada.ca/en/government/system/digital-government/policies-standards/enterprise-it-service-common-configurations/account.html" TargetMode="External"/><Relationship Id="rId10" Type="http://schemas.openxmlformats.org/officeDocument/2006/relationships/hyperlink" Target="https://intranet.canada.ca/wg-tg/rtua-rafu-eng.asp" TargetMode="External"/><Relationship Id="rId19" Type="http://schemas.openxmlformats.org/officeDocument/2006/relationships/hyperlink" Target="https://www.cyber.gc.ca/en/guidance/user-authentication-guidance-information-technology-systems-itsp30031-v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nada.ca/en/treasury-board-secretariat/services/access-information-privacy/security-identity-management/direction-secure-use-commercial-cloud-services-spin.html" TargetMode="External"/><Relationship Id="rId14" Type="http://schemas.openxmlformats.org/officeDocument/2006/relationships/hyperlink" Target="https://www.tbs-sct.canada.ca/pol/doc-eng.aspx?id=327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650</Words>
  <Characters>3707</Characters>
  <Application>Microsoft Office Word</Application>
  <DocSecurity>0</DocSecurity>
  <Lines>30</Lines>
  <Paragraphs>8</Paragraphs>
  <ScaleCrop>false</ScaleCrop>
  <Company>TBS-SCT</Company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Kyle</dc:creator>
  <cp:keywords/>
  <dc:description/>
  <cp:lastModifiedBy>Sullivan, Kyle</cp:lastModifiedBy>
  <cp:revision>2</cp:revision>
  <dcterms:created xsi:type="dcterms:W3CDTF">2023-05-19T14:25:00Z</dcterms:created>
  <dcterms:modified xsi:type="dcterms:W3CDTF">2023-05-19T14:25:00Z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15d617-256d-4284-aedb-1064be1c4b48_Enabled">
    <vt:lpwstr>true</vt:lpwstr>
  </property>
  <property fmtid="{D5CDD505-2E9C-101B-9397-08002B2CF9AE}" pid="3" name="MSIP_Label_3515d617-256d-4284-aedb-1064be1c4b48_SetDate">
    <vt:lpwstr>2023-05-19T14:25:32Z</vt:lpwstr>
  </property>
  <property fmtid="{D5CDD505-2E9C-101B-9397-08002B2CF9AE}" pid="4" name="MSIP_Label_3515d617-256d-4284-aedb-1064be1c4b48_Method">
    <vt:lpwstr>Privileged</vt:lpwstr>
  </property>
  <property fmtid="{D5CDD505-2E9C-101B-9397-08002B2CF9AE}" pid="5" name="MSIP_Label_3515d617-256d-4284-aedb-1064be1c4b48_Name">
    <vt:lpwstr>3515d617-256d-4284-aedb-1064be1c4b48</vt:lpwstr>
  </property>
  <property fmtid="{D5CDD505-2E9C-101B-9397-08002B2CF9AE}" pid="6" name="MSIP_Label_3515d617-256d-4284-aedb-1064be1c4b48_SiteId">
    <vt:lpwstr>6397df10-4595-4047-9c4f-03311282152b</vt:lpwstr>
  </property>
  <property fmtid="{D5CDD505-2E9C-101B-9397-08002B2CF9AE}" pid="7" name="MSIP_Label_3515d617-256d-4284-aedb-1064be1c4b48_ActionId">
    <vt:lpwstr>cdcb9360-5d68-4e58-b817-476c95872514</vt:lpwstr>
  </property>
  <property fmtid="{D5CDD505-2E9C-101B-9397-08002B2CF9AE}" pid="8" name="MSIP_Label_3515d617-256d-4284-aedb-1064be1c4b48_ContentBits">
    <vt:lpwstr>0</vt:lpwstr>
  </property>
</Properties>
</file>