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EverShield Insurance Ltd.</w:t>
      </w:r>
    </w:p>
    <w:p>
      <w:r>
        <w:rPr>
          <w:b/>
        </w:rPr>
        <w:t>Personal Auto Insurance Policy</w:t>
        <w:br/>
      </w:r>
      <w:r>
        <w:t>Policy Number: EVS-AU-2026-004821</w:t>
        <w:br/>
      </w:r>
      <w:r>
        <w:t>Effective Date: 01 January 2026</w:t>
        <w:br/>
      </w:r>
      <w:r>
        <w:t>Expiration Date: 31 December 2026</w:t>
        <w:br/>
      </w:r>
    </w:p>
    <w:p>
      <w:pPr>
        <w:pStyle w:val="Heading1"/>
      </w:pPr>
      <w:r>
        <w:t>Named Insured</w:t>
      </w:r>
    </w:p>
    <w:p>
      <w:r>
        <w:t>Policyholder: Michael A. Mensah</w:t>
        <w:br/>
        <w:t>Address: 24 Palm Avenue, East Legon, Accra, Ghana</w:t>
        <w:br/>
        <w:t>Phone: +233 20 555 1234</w:t>
      </w:r>
    </w:p>
    <w:p>
      <w:pPr>
        <w:pStyle w:val="Heading1"/>
      </w:pPr>
      <w:r>
        <w:t>Covered Vehicle</w:t>
      </w:r>
    </w:p>
    <w:p>
      <w:r>
        <w:t>2022 Toyota Corolla</w:t>
        <w:br/>
        <w:t>Vehicle Identification Number (VIN): JTDBR32E920123456</w:t>
        <w:br/>
        <w:t>Registration Number: GR-4567-22</w:t>
      </w:r>
    </w:p>
    <w:p>
      <w:pPr>
        <w:pStyle w:val="Heading1"/>
      </w:pPr>
      <w:r>
        <w:t>Coverage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Deductible</w:t>
            </w:r>
          </w:p>
        </w:tc>
      </w:tr>
      <w:tr>
        <w:tc>
          <w:tcPr>
            <w:tcW w:type="dxa" w:w="2880"/>
          </w:tcPr>
          <w:p>
            <w:r>
              <w:t>Third-Party Liability</w:t>
            </w:r>
          </w:p>
        </w:tc>
        <w:tc>
          <w:tcPr>
            <w:tcW w:type="dxa" w:w="2880"/>
          </w:tcPr>
          <w:p>
            <w:r>
              <w:t>GHS 500,000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Collision Damage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GHS 2,000</w:t>
            </w:r>
          </w:p>
        </w:tc>
      </w:tr>
      <w:tr>
        <w:tc>
          <w:tcPr>
            <w:tcW w:type="dxa" w:w="2880"/>
          </w:tcPr>
          <w:p>
            <w:r>
              <w:t>Comprehensive Coverage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GHS 1,500</w:t>
            </w:r>
          </w:p>
        </w:tc>
      </w:tr>
      <w:tr>
        <w:tc>
          <w:tcPr>
            <w:tcW w:type="dxa" w:w="2880"/>
          </w:tcPr>
          <w:p>
            <w:r>
              <w:t>Medical Payments</w:t>
            </w:r>
          </w:p>
        </w:tc>
        <w:tc>
          <w:tcPr>
            <w:tcW w:type="dxa" w:w="2880"/>
          </w:tcPr>
          <w:p>
            <w:r>
              <w:t>GHS 50,000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Roadside Assistance</w:t>
            </w:r>
          </w:p>
        </w:tc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</w:tbl>
    <w:p>
      <w:pPr>
        <w:pStyle w:val="Heading1"/>
      </w:pPr>
      <w:r>
        <w:t>Premium Information</w:t>
      </w:r>
    </w:p>
    <w:p>
      <w:r>
        <w:t>Annual Premium: GHS 4,850</w:t>
        <w:br/>
        <w:t>Payment Frequency: Monthly</w:t>
        <w:br/>
        <w:t>Installment Amount: GHS 404.17</w:t>
      </w:r>
    </w:p>
    <w:p>
      <w:pPr>
        <w:pStyle w:val="Heading1"/>
      </w:pPr>
      <w:r>
        <w:t>Policy Terms and Conditions</w:t>
      </w:r>
    </w:p>
    <w:p>
      <w:r>
        <w:t>This policy provides insurance coverage subject to the terms, conditions, limitations, and exclusions described herein. Coverage applies only during the policy period and while premiums remain paid and current.</w:t>
      </w:r>
    </w:p>
    <w:p>
      <w:pPr>
        <w:pStyle w:val="Heading2"/>
      </w:pPr>
      <w:r>
        <w:t>Key Exclusions</w:t>
      </w:r>
    </w:p>
    <w:p>
      <w:r>
        <w:t>• Intentional damage caused by the insured.</w:t>
        <w:br/>
        <w:t>• Use of the vehicle for unlawful activities.</w:t>
        <w:br/>
        <w:t>• Wear and tear, mechanical breakdown, or maintenance-related issues.</w:t>
        <w:br/>
        <w:t>• Damage occurring while operated by an unlicensed driver.</w:t>
      </w:r>
    </w:p>
    <w:p>
      <w:pPr>
        <w:pStyle w:val="Heading1"/>
      </w:pPr>
      <w:r>
        <w:t>Claims Procedure</w:t>
      </w:r>
    </w:p>
    <w:p>
      <w:r>
        <w:t>In the event of a loss, the insured must notify EverShield Insurance Ltd. within 48 hours, provide supporting documentation, and cooperate fully during claim investigation.</w:t>
      </w:r>
    </w:p>
    <w:p>
      <w:pPr>
        <w:pStyle w:val="Heading1"/>
      </w:pPr>
      <w:r>
        <w:t>General Conditions</w:t>
      </w:r>
    </w:p>
    <w:p>
      <w:r>
        <w:t>The insurer reserves the right to inspect the vehicle, verify claim details, and adjust coverage terms upon renewal. Material misrepresentation may result in denial of coverage or policy cancellation.</w:t>
      </w:r>
    </w:p>
    <w:p>
      <w:pPr>
        <w:pStyle w:val="Heading1"/>
      </w:pPr>
      <w:r>
        <w:t>Authorized Signature</w:t>
      </w:r>
    </w:p>
    <w:p>
      <w:r>
        <w:t>______________________________</w:t>
        <w:br/>
        <w:t>Ama Boateng</w:t>
        <w:br/>
        <w:t>Senior Underwriting Manager</w:t>
        <w:br/>
        <w:t>EverShield Insurance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