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WorkPulse Product Requirements</w:t>
      </w:r>
    </w:p>
    <w:p>
      <w:r>
        <w:rPr>
          <w:sz w:val="18"/>
        </w:rPr>
        <w:t>WORKPULSE  |  MVP v0.1  |  9 September 2026</w:t>
      </w:r>
    </w:p>
    <w:p>
      <w:r>
        <w:t>Define the first release of WorkPulse for product, design, and engineering. The MVP turns career history and work logs into user approved achievements and an editable CV, while preserving the source records that support each claim.</w:t>
      </w:r>
    </w:p>
    <w:p>
      <w:pPr>
        <w:pStyle w:val="Heading1"/>
      </w:pPr>
      <w:r>
        <w:t>1 Product outcome</w:t>
      </w:r>
    </w:p>
    <w:p>
      <w:r>
        <w:t>WorkPulse is a private career workspace for fresh graduates and employees with 1–5 years of experience. It solves forgotten achievements, difficult CV updates, and unclear descriptions of work impact. The core loop is capture activity, identify impact, confirm an achievement, and reuse it in a CV.</w:t>
      </w:r>
    </w:p>
    <w:tbl>
      <w:tblPr>
        <w:tblW w:type="auto" w:w="0"/>
        <w:jc w:val="center"/>
        <w:tblLayout w:type="fixed"/>
        <w:tblLook w:firstColumn="1" w:firstRow="1" w:lastColumn="0" w:lastRow="0" w:noHBand="0" w:noVBand="1" w:val="04A0"/>
      </w:tblPr>
      <w:tblGrid>
        <w:gridCol w:w="1944"/>
        <w:gridCol w:w="3672"/>
        <w:gridCol w:w="4219"/>
      </w:tblGrid>
      <w:tr>
        <w:trPr>
          <w:tblHeader/>
          <w:cantSplit/>
        </w:trPr>
        <w:tc>
          <w:tcPr>
            <w:tcW w:type="dxa" w:w="1944"/>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User</w:t>
            </w:r>
          </w:p>
        </w:tc>
        <w:tc>
          <w:tcPr>
            <w:tcW w:type="dxa" w:w="3672"/>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Primary job</w:t>
            </w:r>
          </w:p>
        </w:tc>
        <w:tc>
          <w:tcPr>
            <w:tcW w:type="dxa" w:w="4219"/>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Successful outcome</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Fresh graduate</w:t>
            </w:r>
          </w:p>
        </w:tc>
        <w:tc>
          <w:tcPr>
            <w:tcW w:type="dxa" w:w="36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Record internships, academic projects, volunteering, and education.</w:t>
            </w:r>
          </w:p>
        </w:tc>
        <w:tc>
          <w:tcPr>
            <w:tcW w:type="dxa" w:w="421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Build a credible CV without requiring paid employment.</w:t>
            </w:r>
          </w:p>
        </w:tc>
      </w:tr>
      <w:tr>
        <w:trPr>
          <w:cantSplit/>
        </w:trPr>
        <w:tc>
          <w:tcPr>
            <w:tcW w:type="dxa" w:w="1944"/>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Early career employee</w:t>
            </w:r>
          </w:p>
        </w:tc>
        <w:tc>
          <w:tcPr>
            <w:tcW w:type="dxa" w:w="3672"/>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Record contributions as work happens.</w:t>
            </w:r>
          </w:p>
        </w:tc>
        <w:tc>
          <w:tcPr>
            <w:tcW w:type="dxa" w:w="4219"/>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Recover relevant achievements and refresh a CV without reconstructing months of work.</w:t>
            </w:r>
          </w:p>
        </w:tc>
      </w:tr>
    </w:tbl>
    <w:p>
      <w:pPr>
        <w:spacing w:after="0"/>
      </w:pPr>
    </w:p>
    <w:p>
      <w:pPr>
        <w:pStyle w:val="Heading2"/>
      </w:pPr>
      <w:r>
        <w:t>Release boundary</w:t>
      </w:r>
    </w:p>
    <w:p>
      <w:r>
        <w:t>Support individual accounts in a responsive web app. Ship CV import, dashboard, quick note and structured or chat capture, achievement review, projects, limited evidence storage, timeline, one master CV, and PDF export. Daily use is optional; weekly and project based capture must work equally well.</w:t>
      </w:r>
    </w:p>
    <w:p>
      <w:pPr>
        <w:pStyle w:val="Heading2"/>
      </w:pPr>
      <w:r>
        <w:t>Implementation baseline</w:t>
      </w:r>
    </w:p>
    <w:p>
      <w:r>
        <w:t>Use a private cloud application with authentication, a relational database, private file storage, and server side AI calls. A Next.js and PostgreSQL implementation is a suitable baseline; managed auth and storage may be supplied by Supabase. Keep provider choices replaceable. Encryption in transit and at rest is required; this release does not claim end to end encryption or offline operation.</w:t>
      </w:r>
    </w:p>
    <w:tbl>
      <w:tblPr>
        <w:tblW w:type="auto" w:w="0"/>
        <w:jc w:val="center"/>
        <w:tblLayout w:type="fixed"/>
        <w:tblLook w:firstColumn="1" w:firstRow="1" w:lastColumn="0" w:lastRow="0" w:noHBand="0" w:noVBand="1" w:val="04A0"/>
      </w:tblPr>
      <w:tblGrid>
        <w:gridCol w:w="1800"/>
        <w:gridCol w:w="8035"/>
      </w:tblGrid>
      <w:tr>
        <w:trPr>
          <w:tblHeader/>
          <w:cantSplit/>
        </w:trPr>
        <w:tc>
          <w:tcPr>
            <w:tcW w:type="dxa" w:w="1800"/>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Decision</w:t>
            </w:r>
          </w:p>
        </w:tc>
        <w:tc>
          <w:tcPr>
            <w:tcW w:type="dxa" w:w="8035"/>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v0.1 contract</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Language</w:t>
            </w:r>
          </w:p>
        </w:tc>
        <w:tc>
          <w:tcPr>
            <w:tcW w:type="dxa" w:w="80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Accept Indonesian and English input. Provide Indonesian and English interface copy and CV section labels. Preserve source language; automatic translation is deferred.</w:t>
            </w:r>
          </w:p>
        </w:tc>
      </w:tr>
      <w:tr>
        <w:trPr>
          <w:cantSplit/>
        </w:trPr>
        <w:tc>
          <w:tcPr>
            <w:tcW w:type="dxa" w:w="1800"/>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CV scope</w:t>
            </w:r>
          </w:p>
        </w:tc>
        <w:tc>
          <w:tcPr>
            <w:tcW w:type="dxa" w:w="8035"/>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One editable master CV per account, one clean single column template, A4 PDF. No vacancy variants.</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Import</w:t>
            </w:r>
          </w:p>
        </w:tc>
        <w:tc>
          <w:tcPr>
            <w:tcW w:type="dxa" w:w="803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Text based PDF and DOCX up to 10 MiB and 20 pages. Scans, password protected files, and unsupported formats use manual entry.</w:t>
            </w:r>
          </w:p>
        </w:tc>
      </w:tr>
      <w:tr>
        <w:trPr>
          <w:cantSplit/>
        </w:trPr>
        <w:tc>
          <w:tcPr>
            <w:tcW w:type="dxa" w:w="1800"/>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Evidence quota</w:t>
            </w:r>
          </w:p>
        </w:tc>
        <w:tc>
          <w:tcPr>
            <w:tcW w:type="dxa" w:w="8035"/>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PDF, PNG, JPEG, DOCX; 10 MiB per file, 3 files per parent record, 50 MiB per account. Storage only.</w:t>
            </w:r>
          </w:p>
        </w:tc>
      </w:tr>
    </w:tbl>
    <w:p>
      <w:pPr>
        <w:spacing w:after="0"/>
      </w:pPr>
    </w:p>
    <w:p>
      <w:r>
        <w:br w:type="page"/>
      </w:r>
    </w:p>
    <w:p>
      <w:pPr>
        <w:pStyle w:val="Heading1"/>
      </w:pPr>
      <w:r>
        <w:t>2 Functional requirements</w:t>
      </w:r>
    </w:p>
    <w:tbl>
      <w:tblPr>
        <w:tblW w:type="auto" w:w="0"/>
        <w:jc w:val="center"/>
        <w:tblLayout w:type="fixed"/>
        <w:tblLook w:firstColumn="1" w:firstRow="1" w:lastColumn="0" w:lastRow="0" w:noHBand="0" w:noVBand="1" w:val="04A0"/>
      </w:tblPr>
      <w:tblGrid>
        <w:gridCol w:w="720"/>
        <w:gridCol w:w="1987"/>
        <w:gridCol w:w="7128"/>
      </w:tblGrid>
      <w:tr>
        <w:trPr>
          <w:tblHeader/>
          <w:cantSplit/>
        </w:trPr>
        <w:tc>
          <w:tcPr>
            <w:tcW w:type="dxa" w:w="720"/>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ID</w:t>
            </w:r>
          </w:p>
        </w:tc>
        <w:tc>
          <w:tcPr>
            <w:tcW w:type="dxa" w:w="1987"/>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Requirement</w:t>
            </w:r>
          </w:p>
        </w:tc>
        <w:tc>
          <w:tcPr>
            <w:tcW w:type="dxa" w:w="7128"/>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Acceptance condition</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R01</w:t>
            </w:r>
          </w:p>
        </w:tc>
        <w:tc>
          <w:tcPr>
            <w:tcW w:type="dxa" w:w="19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Account and private profile</w:t>
            </w:r>
          </w:p>
        </w:tc>
        <w:tc>
          <w:tcPr>
            <w:tcW w:type="dxa" w:w="71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Sign in, sign out, recovery, locale selection, and session expiry work. Another account cannot read or mutate any record or file.</w:t>
            </w:r>
          </w:p>
        </w:tc>
      </w:tr>
      <w:tr>
        <w:trPr>
          <w:cantSplit/>
        </w:trPr>
        <w:tc>
          <w:tcPr>
            <w:tcW w:type="dxa" w:w="720"/>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R02</w:t>
            </w:r>
          </w:p>
        </w:tc>
        <w:tc>
          <w:tcPr>
            <w:tcW w:type="dxa" w:w="1987"/>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Import and review CV</w:t>
            </w:r>
          </w:p>
        </w:tc>
        <w:tc>
          <w:tcPr>
            <w:tcW w:type="dxa" w:w="7128"/>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Extract profile, education, experience, skills, certifications, and candidate achievements into staging. The user edits and selects records before one atomic commit. Retry does not duplicate data.</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R03</w:t>
            </w:r>
          </w:p>
        </w:tc>
        <w:tc>
          <w:tcPr>
            <w:tcW w:type="dxa" w:w="19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Career dashboard</w:t>
            </w:r>
          </w:p>
        </w:tc>
        <w:tc>
          <w:tcPr>
            <w:tcW w:type="dxa" w:w="71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Show recent activities, current projects, confirmed achievement counts, demonstrated skills, and actionable completeness checks. Every item opens its source.</w:t>
            </w:r>
          </w:p>
        </w:tc>
      </w:tr>
      <w:tr>
        <w:trPr>
          <w:cantSplit/>
        </w:trPr>
        <w:tc>
          <w:tcPr>
            <w:tcW w:type="dxa" w:w="720"/>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R04</w:t>
            </w:r>
          </w:p>
        </w:tc>
        <w:tc>
          <w:tcPr>
            <w:tcW w:type="dxa" w:w="1987"/>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Capture work</w:t>
            </w:r>
          </w:p>
        </w:tc>
        <w:tc>
          <w:tcPr>
            <w:tcW w:type="dxa" w:w="7128"/>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Quick note needs only nonblank text and an activity date. Structured entry adds context and optional project. Chat saves the original note before AI processing.</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R05</w:t>
            </w:r>
          </w:p>
        </w:tc>
        <w:tc>
          <w:tcPr>
            <w:tcW w:type="dxa" w:w="19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Detect achievements</w:t>
            </w:r>
          </w:p>
        </w:tc>
        <w:tc>
          <w:tcPr>
            <w:tcW w:type="dxa" w:w="71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AI may suggest an achievement and up to three optional follow up questions per activity revision. Keep source text. Only explicit user confirmation makes a draft CV eligible.</w:t>
            </w:r>
          </w:p>
        </w:tc>
      </w:tr>
      <w:tr>
        <w:trPr>
          <w:cantSplit/>
        </w:trPr>
        <w:tc>
          <w:tcPr>
            <w:tcW w:type="dxa" w:w="720"/>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R06</w:t>
            </w:r>
          </w:p>
        </w:tc>
        <w:tc>
          <w:tcPr>
            <w:tcW w:type="dxa" w:w="1987"/>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Manage projects</w:t>
            </w:r>
          </w:p>
        </w:tc>
        <w:tc>
          <w:tcPr>
            <w:tcW w:type="dxa" w:w="7128"/>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Create and edit title, context, dates, status, role, and outcome. Link activities and achievements to one optional project each. Standalone records are supported.</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R07</w:t>
            </w:r>
          </w:p>
        </w:tc>
        <w:tc>
          <w:tcPr>
            <w:tcW w:type="dxa" w:w="19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Store evidence</w:t>
            </w:r>
          </w:p>
        </w:tc>
        <w:tc>
          <w:tcPr>
            <w:tcW w:type="dxa" w:w="71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Attach private files to an activity, achievement, or project within quotas. Validate type and size. Download and delete require ownership. Files are never sent for AI analysis.</w:t>
            </w:r>
          </w:p>
        </w:tc>
      </w:tr>
      <w:tr>
        <w:trPr>
          <w:cantSplit/>
        </w:trPr>
        <w:tc>
          <w:tcPr>
            <w:tcW w:type="dxa" w:w="720"/>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R08</w:t>
            </w:r>
          </w:p>
        </w:tc>
        <w:tc>
          <w:tcPr>
            <w:tcW w:type="dxa" w:w="1987"/>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View timeline</w:t>
            </w:r>
          </w:p>
        </w:tc>
        <w:tc>
          <w:tcPr>
            <w:tcW w:type="dxa" w:w="7128"/>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Derive company and role periods, project starts, and confirmed achievement dates from source records. Include education and standalone projects. Do not invent career progression.</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R09</w:t>
            </w:r>
          </w:p>
        </w:tc>
        <w:tc>
          <w:tcPr>
            <w:tcW w:type="dxa" w:w="198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Build master CV</w:t>
            </w:r>
          </w:p>
        </w:tc>
        <w:tc>
          <w:tcPr>
            <w:tcW w:type="dxa" w:w="712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Select and order experience, projects, confirmed achievements, education, skills, and certifications. Edit a summary and item wording. Source edits trigger a reviewable refresh.</w:t>
            </w:r>
          </w:p>
        </w:tc>
      </w:tr>
      <w:tr>
        <w:trPr>
          <w:cantSplit/>
        </w:trPr>
        <w:tc>
          <w:tcPr>
            <w:tcW w:type="dxa" w:w="720"/>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R10</w:t>
            </w:r>
          </w:p>
        </w:tc>
        <w:tc>
          <w:tcPr>
            <w:tcW w:type="dxa" w:w="1987"/>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Export PDF</w:t>
            </w:r>
          </w:p>
        </w:tc>
        <w:tc>
          <w:tcPr>
            <w:tcW w:type="dxa" w:w="7128"/>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Export the saved CV revision as searchable A4 text with correct page breaks. Failure preserves the draft and supports retry. Evidence is not embedded or linked.</w:t>
            </w:r>
          </w:p>
        </w:tc>
      </w:tr>
    </w:tbl>
    <w:p>
      <w:pPr>
        <w:spacing w:after="0"/>
      </w:pPr>
    </w:p>
    <w:p>
      <w:pPr>
        <w:pStyle w:val="Heading2"/>
      </w:pPr>
      <w:r>
        <w:t>Shared validation</w:t>
      </w:r>
    </w:p>
    <w:p>
      <w:r>
        <w:t>Require a display name to finish onboarding; all other profile fields are optional. Experience requires organization and role; education requires institution and qualification; projects require title. Allow unknown dates. Store partial dates with precision instead of fabricated exact days. A known end cannot precede a known start. Concurrent edits must report a conflict rather than overwrite silently.</w:t>
      </w:r>
    </w:p>
    <w:p>
      <w:r>
        <w:br w:type="page"/>
      </w:r>
    </w:p>
    <w:p>
      <w:pPr>
        <w:pStyle w:val="Heading1"/>
      </w:pPr>
      <w:r>
        <w:t>3 Content and AI behavior</w:t>
      </w:r>
    </w:p>
    <w:p>
      <w:pPr>
        <w:pStyle w:val="Heading2"/>
      </w:pPr>
      <w:r>
        <w:t>Canonical records</w:t>
      </w:r>
    </w:p>
    <w:p>
      <w:r>
        <w:t>An activity is a factual record of work. An achievement is a reviewed description of contribution and impact. A project supplies context. Skills are user editable labels; demonstrated counts derive only from confirmed achievements. Evidence is a supporting attachment, not a verified claim. The career database remains authoritative; the CV is an editable snapshot of selected records.</w:t>
      </w:r>
    </w:p>
    <w:p>
      <w:pPr>
        <w:pStyle w:val="Heading2"/>
      </w:pPr>
      <w:r>
        <w:t>Detection and confirmation</w:t>
      </w:r>
    </w:p>
    <w:p>
      <w:pPr>
        <w:pStyle w:val="ListBullet"/>
      </w:pPr>
      <w:r>
        <w:t>Persist the raw note and structured context before requesting AI. Routine activities remain useful even when no achievement is detected.</w:t>
      </w:r>
    </w:p>
    <w:p>
      <w:pPr>
        <w:pStyle w:val="ListBullet"/>
      </w:pPr>
      <w:r>
        <w:t>Suggest an achievement when the note indicates scope, users served, time savings, a delivered outcome, or a meaningful contribution. Senior stakeholders alone do not establish impact.</w:t>
      </w:r>
    </w:p>
    <w:p>
      <w:pPr>
        <w:pStyle w:val="ListBullet"/>
      </w:pPr>
      <w:r>
        <w:t>Ask only for missing role, scope, or outcome information relevant to that suggestion. Show all questions as optional, with Skip and Save for later.</w:t>
      </w:r>
    </w:p>
    <w:p>
      <w:pPr>
        <w:pStyle w:val="ListBullet"/>
      </w:pPr>
      <w:r>
        <w:t>Require title, contribution, outcome, and an achievement date to confirm. Qualitative outcomes are valid; numerical metrics and evidence are optional. Users may create a draft manually if detection misses it.</w:t>
      </w:r>
    </w:p>
    <w:p>
      <w:pPr>
        <w:pStyle w:val="ListBullet"/>
      </w:pPr>
      <w:r>
        <w:t>Generated wording may reorganize stated facts but must not invent numbers, seniority, causality, employers, or results. Show the source beside the suggestion. Imported achievement claims are candidates until the user selects Confirm during review.</w:t>
      </w:r>
    </w:p>
    <w:p>
      <w:pPr>
        <w:pStyle w:val="ListBullet"/>
      </w:pPr>
      <w:r>
        <w:t>Keep user messages and the original note. Changes create a new activity revision; old AI responses cannot replace a newer draft. Permit one achievement per activity in v0.1, plus standalone manual or imported achievements.</w:t>
      </w:r>
    </w:p>
    <w:p>
      <w:pPr>
        <w:pStyle w:val="Heading2"/>
      </w:pPr>
      <w:r>
        <w:t>CV freshness contract</w:t>
      </w:r>
    </w:p>
    <w:p>
      <w:r>
        <w:t>Confirming an achievement adds it to the CV selection pool without silently adding it to the CV. A selected source update marks the corresponding CV item as changed. Refresh updates only items without manual overrides. For an overridden item, show the old wording and the source change; the user chooses Keep wording or Replace from source. A deleted or unconfirmed source blocks export until the item is removed or corrected. Previously downloaded PDFs remain unchanged.</w:t>
      </w:r>
    </w:p>
    <w:p>
      <w:pPr>
        <w:pStyle w:val="Heading2"/>
      </w:pPr>
      <w:r>
        <w:t>Actionable dashboard checks</w:t>
      </w:r>
    </w:p>
    <w:tbl>
      <w:tblPr>
        <w:tblW w:type="auto" w:w="0"/>
        <w:jc w:val="center"/>
        <w:tblLayout w:type="fixed"/>
        <w:tblLook w:firstColumn="1" w:firstRow="1" w:lastColumn="0" w:lastRow="0" w:noHBand="0" w:noVBand="1" w:val="04A0"/>
      </w:tblPr>
      <w:tblGrid>
        <w:gridCol w:w="1872"/>
        <w:gridCol w:w="5040"/>
        <w:gridCol w:w="2923"/>
      </w:tblGrid>
      <w:tr>
        <w:trPr>
          <w:tblHeader/>
          <w:cantSplit/>
        </w:trPr>
        <w:tc>
          <w:tcPr>
            <w:tcW w:type="dxa" w:w="1872"/>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Check</w:t>
            </w:r>
          </w:p>
        </w:tc>
        <w:tc>
          <w:tcPr>
            <w:tcW w:type="dxa" w:w="5040"/>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Rule</w:t>
            </w:r>
          </w:p>
        </w:tc>
        <w:tc>
          <w:tcPr>
            <w:tcW w:type="dxa" w:w="2923"/>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Action</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Missing evidence</w:t>
            </w:r>
          </w:p>
        </w:tc>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Confirmed achievements with zero ready attachments directly linked.</w:t>
            </w:r>
          </w:p>
        </w:tc>
        <w:tc>
          <w:tcPr>
            <w:tcW w:type="dxa" w:w="292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Open filtered achievements. Project attachments do not count.</w:t>
            </w:r>
          </w:p>
        </w:tc>
      </w:tr>
      <w:tr>
        <w:trPr>
          <w:cantSplit/>
        </w:trPr>
        <w:tc>
          <w:tcPr>
            <w:tcW w:type="dxa" w:w="1872"/>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Missing outcomes</w:t>
            </w:r>
          </w:p>
        </w:tc>
        <w:tc>
          <w:tcPr>
            <w:tcW w:type="dxa" w:w="5040"/>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Completed projects with no outcome text.</w:t>
            </w:r>
          </w:p>
        </w:tc>
        <w:tc>
          <w:tcPr>
            <w:tcW w:type="dxa" w:w="2923"/>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Open the affected project.</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Skills demonstrated</w:t>
            </w:r>
          </w:p>
        </w:tc>
        <w:tc>
          <w:tcPr>
            <w:tcW w:type="dxa" w:w="50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Count distinct confirmed achievements linked to each skill.</w:t>
            </w:r>
          </w:p>
        </w:tc>
        <w:tc>
          <w:tcPr>
            <w:tcW w:type="dxa" w:w="292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Open the linked achievements.</w:t>
            </w:r>
          </w:p>
        </w:tc>
      </w:tr>
      <w:tr>
        <w:trPr>
          <w:cantSplit/>
        </w:trPr>
        <w:tc>
          <w:tcPr>
            <w:tcW w:type="dxa" w:w="1872"/>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CV needs review</w:t>
            </w:r>
          </w:p>
        </w:tc>
        <w:tc>
          <w:tcPr>
            <w:tcW w:type="dxa" w:w="5040"/>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Selected source revisions differ from saved CV revisions, or confirmed unselected achievements exist.</w:t>
            </w:r>
          </w:p>
        </w:tc>
        <w:tc>
          <w:tcPr>
            <w:tcW w:type="dxa" w:w="2923"/>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Open CV builder. Use separate labels for changed and available items.</w:t>
            </w:r>
          </w:p>
        </w:tc>
      </w:tr>
    </w:tbl>
    <w:p>
      <w:pPr>
        <w:spacing w:after="0"/>
      </w:pPr>
    </w:p>
    <w:p>
      <w:r>
        <w:br w:type="page"/>
      </w:r>
    </w:p>
    <w:p>
      <w:pPr>
        <w:pStyle w:val="Heading1"/>
      </w:pPr>
      <w:r>
        <w:t>4 Reliability and release validation</w:t>
      </w:r>
    </w:p>
    <w:tbl>
      <w:tblPr>
        <w:tblW w:type="auto" w:w="0"/>
        <w:jc w:val="center"/>
        <w:tblLayout w:type="fixed"/>
        <w:tblLook w:firstColumn="1" w:firstRow="1" w:lastColumn="0" w:lastRow="0" w:noHBand="0" w:noVBand="1" w:val="04A0"/>
      </w:tblPr>
      <w:tblGrid>
        <w:gridCol w:w="1872"/>
        <w:gridCol w:w="7963"/>
      </w:tblGrid>
      <w:tr>
        <w:trPr>
          <w:tblHeader/>
          <w:cantSplit/>
        </w:trPr>
        <w:tc>
          <w:tcPr>
            <w:tcW w:type="dxa" w:w="1872"/>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Area</w:t>
            </w:r>
          </w:p>
        </w:tc>
        <w:tc>
          <w:tcPr>
            <w:tcW w:type="dxa" w:w="7963"/>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Required behavior</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Privacy</w:t>
            </w:r>
          </w:p>
        </w:tc>
        <w:tc>
          <w:tcPr>
            <w:tcW w:type="dxa" w:w="796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Use owner scoped access on every table, relationship, worker operation, and file request. AI keys remain server side. No public profiles or sharing links.</w:t>
            </w:r>
          </w:p>
        </w:tc>
      </w:tr>
      <w:tr>
        <w:trPr>
          <w:cantSplit/>
        </w:trPr>
        <w:tc>
          <w:tcPr>
            <w:tcW w:type="dxa" w:w="1872"/>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AI disclosure</w:t>
            </w:r>
          </w:p>
        </w:tc>
        <w:tc>
          <w:tcPr>
            <w:tcW w:type="dxa" w:w="7963"/>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Explain before first AI action that selected text goes to an external processor. Record consent version and timestamp. Declining leaves manual entry and CV editing available.</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File safety</w:t>
            </w:r>
          </w:p>
        </w:tc>
        <w:tc>
          <w:tcPr>
            <w:tcW w:type="dxa" w:w="796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Validate signatures, MIME, size, and ownership server side. Quarantine until malware screening passes. Expiring download URLs last at most 5 minutes. Do not preview active documents inline.</w:t>
            </w:r>
          </w:p>
        </w:tc>
      </w:tr>
      <w:tr>
        <w:trPr>
          <w:cantSplit/>
        </w:trPr>
        <w:tc>
          <w:tcPr>
            <w:tcW w:type="dxa" w:w="1872"/>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Data minimization</w:t>
            </w:r>
          </w:p>
        </w:tc>
        <w:tc>
          <w:tcPr>
            <w:tcW w:type="dxa" w:w="7963"/>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Send only text required for the operation. Do not send evidence files. Delete original import files and extracted staging text within 24 hours of commit, cancellation, or terminal failure.</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Failures</w:t>
            </w:r>
          </w:p>
        </w:tc>
        <w:tc>
          <w:tcPr>
            <w:tcW w:type="dxa" w:w="796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Durable AI and export jobs have queued, running, succeeded, and failed states. Timeout at 120 seconds and allow an explicit retry. Preserve saves and avoid duplicate jobs.</w:t>
            </w:r>
          </w:p>
        </w:tc>
      </w:tr>
      <w:tr>
        <w:trPr>
          <w:cantSplit/>
        </w:trPr>
        <w:tc>
          <w:tcPr>
            <w:tcW w:type="dxa" w:w="1872"/>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Performance targets</w:t>
            </w:r>
          </w:p>
        </w:tc>
        <w:tc>
          <w:tcPr>
            <w:tcW w:type="dxa" w:w="7963"/>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On the agreed staging dataset of 1,000 activities, 200 achievements, and 50 projects: p95 dashboard and list reads under 2 seconds; saves under 1 second, excluding network and AI.</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Usability</w:t>
            </w:r>
          </w:p>
        </w:tc>
        <w:tc>
          <w:tcPr>
            <w:tcW w:type="dxa" w:w="7963"/>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Keyboard accessible controls, visible focus, labeled errors, readable contrast, and layouts at 360 px and 1440 px. Preserve form content after failed saves.</w:t>
            </w:r>
          </w:p>
        </w:tc>
      </w:tr>
      <w:tr>
        <w:trPr>
          <w:cantSplit/>
        </w:trPr>
        <w:tc>
          <w:tcPr>
            <w:tcW w:type="dxa" w:w="1872"/>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Deletion</w:t>
            </w:r>
          </w:p>
        </w:tc>
        <w:tc>
          <w:tcPr>
            <w:tcW w:type="dxa" w:w="7963"/>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Deleting a record previews affected links. Account deletion revokes sessions immediately, removes active data and objects within 24 hours, and expires backups within 30 days.</w:t>
            </w:r>
          </w:p>
        </w:tc>
      </w:tr>
    </w:tbl>
    <w:p>
      <w:pPr>
        <w:spacing w:after="0"/>
      </w:pPr>
    </w:p>
    <w:p>
      <w:pPr>
        <w:pStyle w:val="Heading2"/>
      </w:pPr>
      <w:r>
        <w:t>Release scenarios</w:t>
      </w:r>
    </w:p>
    <w:p>
      <w:pPr>
        <w:pStyle w:val="ListBullet"/>
      </w:pPr>
      <w:r>
        <w:t>Import an Indonesian CV with overlapping employment dates; correct extraction and confirm once. Verify selected candidates populate the dashboard without duplicate retries.</w:t>
      </w:r>
    </w:p>
    <w:p>
      <w:pPr>
        <w:pStyle w:val="ListBullet"/>
      </w:pPr>
      <w:r>
        <w:t>Onboard a graduate with no CV and no employment; add education and an academic project, capture a result, confirm it, and export a useful CV.</w:t>
      </w:r>
    </w:p>
    <w:p>
      <w:pPr>
        <w:pStyle w:val="ListBullet"/>
      </w:pPr>
      <w:r>
        <w:t>Save a note while AI is unavailable; retry analysis after editing it. Verify stale output never overwrites the new revision.</w:t>
      </w:r>
    </w:p>
    <w:p>
      <w:pPr>
        <w:pStyle w:val="ListBullet"/>
      </w:pPr>
      <w:r>
        <w:t>Upload two files concurrently at the quota boundary; only the permitted bytes commit. Delete an attachment and verify the download URL is revoked where supported and expires within 5 minutes.</w:t>
      </w:r>
    </w:p>
    <w:p>
      <w:pPr>
        <w:pStyle w:val="ListBullet"/>
      </w:pPr>
      <w:r>
        <w:t>Edit a selected achievement after manual CV wording changes; refresh without losing the override. Delete its source and verify export is blocked until resolved.</w:t>
      </w:r>
    </w:p>
    <w:p>
      <w:pPr>
        <w:pStyle w:val="ListBullet"/>
      </w:pPr>
      <w:r>
        <w:t>Run ownership tests for every table and storage path with two accounts. Validate PDF text extraction, Indonesian characters, long bullets, and multipage output.</w:t>
      </w:r>
    </w:p>
    <w:p>
      <w:r>
        <w:br w:type="page"/>
      </w:r>
    </w:p>
    <w:p>
      <w:pPr>
        <w:pStyle w:val="Heading1"/>
      </w:pPr>
      <w:r>
        <w:t>5 Delivery and scope control</w:t>
      </w:r>
    </w:p>
    <w:tbl>
      <w:tblPr>
        <w:tblW w:type="auto" w:w="0"/>
        <w:jc w:val="center"/>
        <w:tblLayout w:type="fixed"/>
        <w:tblLook w:firstColumn="1" w:firstRow="1" w:lastColumn="0" w:lastRow="0" w:noHBand="0" w:noVBand="1" w:val="04A0"/>
      </w:tblPr>
      <w:tblGrid>
        <w:gridCol w:w="1512"/>
        <w:gridCol w:w="4608"/>
        <w:gridCol w:w="3715"/>
      </w:tblGrid>
      <w:tr>
        <w:trPr>
          <w:tblHeader/>
          <w:cantSplit/>
        </w:trPr>
        <w:tc>
          <w:tcPr>
            <w:tcW w:type="dxa" w:w="1512"/>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Milestone</w:t>
            </w:r>
          </w:p>
        </w:tc>
        <w:tc>
          <w:tcPr>
            <w:tcW w:type="dxa" w:w="4608"/>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Deliverable</w:t>
            </w:r>
          </w:p>
        </w:tc>
        <w:tc>
          <w:tcPr>
            <w:tcW w:type="dxa" w:w="3715"/>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Exit gate</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M1 Foundation</w:t>
            </w:r>
          </w:p>
        </w:tc>
        <w:tc>
          <w:tcPr>
            <w:tcW w:type="dxa" w:w="4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Account, ownership rules, profile CRUD, private storage, migrations.</w:t>
            </w:r>
          </w:p>
        </w:tc>
        <w:tc>
          <w:tcPr>
            <w:tcW w:type="dxa" w:w="371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Two account isolation and record lifecycle tests pass.</w:t>
            </w:r>
          </w:p>
        </w:tc>
      </w:tr>
      <w:tr>
        <w:trPr>
          <w:cantSplit/>
        </w:trPr>
        <w:tc>
          <w:tcPr>
            <w:tcW w:type="dxa" w:w="1512"/>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M2 Capture</w:t>
            </w:r>
          </w:p>
        </w:tc>
        <w:tc>
          <w:tcPr>
            <w:tcW w:type="dxa" w:w="4608"/>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Activities, projects, manual achievements, evidence, dashboard, timeline.</w:t>
            </w:r>
          </w:p>
        </w:tc>
        <w:tc>
          <w:tcPr>
            <w:tcW w:type="dxa" w:w="3715"/>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A manual log to confirmed achievement path works end to end.</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M3 Assisted entry</w:t>
            </w:r>
          </w:p>
        </w:tc>
        <w:tc>
          <w:tcPr>
            <w:tcW w:type="dxa" w:w="4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CV staging and review, AI capture, detection and consent.</w:t>
            </w:r>
          </w:p>
        </w:tc>
        <w:tc>
          <w:tcPr>
            <w:tcW w:type="dxa" w:w="371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Malformed files, retries, rejected suggestions, and AI outage paths pass.</w:t>
            </w:r>
          </w:p>
        </w:tc>
      </w:tr>
      <w:tr>
        <w:trPr>
          <w:cantSplit/>
        </w:trPr>
        <w:tc>
          <w:tcPr>
            <w:tcW w:type="dxa" w:w="1512"/>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M4 CV output</w:t>
            </w:r>
          </w:p>
        </w:tc>
        <w:tc>
          <w:tcPr>
            <w:tcW w:type="dxa" w:w="4608"/>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Selection, ordering, overrides, refresh, PDF jobs.</w:t>
            </w:r>
          </w:p>
        </w:tc>
        <w:tc>
          <w:tcPr>
            <w:tcW w:type="dxa" w:w="3715"/>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Source provenance survives editing and export; layout fixtures pass.</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M5 Pilot</w:t>
            </w:r>
          </w:p>
        </w:tc>
        <w:tc>
          <w:tcPr>
            <w:tcW w:type="dxa" w:w="46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Instrumentation, access review, deletion, regression and usability review.</w:t>
            </w:r>
          </w:p>
        </w:tc>
        <w:tc>
          <w:tcPr>
            <w:tcW w:type="dxa" w:w="371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All R01–R10 conditions pass; no critical privacy or data loss defects.</w:t>
            </w:r>
          </w:p>
        </w:tc>
      </w:tr>
    </w:tbl>
    <w:p>
      <w:pPr>
        <w:spacing w:after="0"/>
      </w:pPr>
    </w:p>
    <w:p>
      <w:pPr>
        <w:pStyle w:val="Heading2"/>
      </w:pPr>
      <w:r>
        <w:t>Pilot measures</w:t>
      </w:r>
    </w:p>
    <w:p>
      <w:r>
        <w:t>Instrument events without note text, CV text, filenames, or attachment contents. Use these as pilot hypotheses, not established product results. Revisit targets after the first 20 consenting pilot users.</w:t>
      </w:r>
    </w:p>
    <w:tbl>
      <w:tblPr>
        <w:tblW w:type="auto" w:w="0"/>
        <w:jc w:val="center"/>
        <w:tblLayout w:type="fixed"/>
        <w:tblLook w:firstColumn="1" w:firstRow="1" w:lastColumn="0" w:lastRow="0" w:noHBand="0" w:noVBand="1" w:val="04A0"/>
      </w:tblPr>
      <w:tblGrid>
        <w:gridCol w:w="1800"/>
        <w:gridCol w:w="6408"/>
        <w:gridCol w:w="1627"/>
      </w:tblGrid>
      <w:tr>
        <w:trPr>
          <w:tblHeader/>
          <w:cantSplit/>
        </w:trPr>
        <w:tc>
          <w:tcPr>
            <w:tcW w:type="dxa" w:w="1800"/>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Measure</w:t>
            </w:r>
          </w:p>
        </w:tc>
        <w:tc>
          <w:tcPr>
            <w:tcW w:type="dxa" w:w="6408"/>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Definition</w:t>
            </w:r>
          </w:p>
        </w:tc>
        <w:tc>
          <w:tcPr>
            <w:tcW w:type="dxa" w:w="1627"/>
            <w:vAlign w:val="center"/>
            <w:shd w:fill="233F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color w:val="FFFFFF"/>
                <w:sz w:val="18"/>
              </w:rPr>
              <w:t>Initial target</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Activation</w:t>
            </w:r>
          </w:p>
        </w:tc>
        <w:tc>
          <w:tcPr>
            <w:tcW w:type="dxa" w:w="64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New accounts that confirm imported records or save one manual career record within 24 hours.</w:t>
            </w:r>
          </w:p>
        </w:tc>
        <w:tc>
          <w:tcPr>
            <w:tcW w:type="dxa" w:w="162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At least 60%</w:t>
            </w:r>
          </w:p>
        </w:tc>
      </w:tr>
      <w:tr>
        <w:trPr>
          <w:cantSplit/>
        </w:trPr>
        <w:tc>
          <w:tcPr>
            <w:tcW w:type="dxa" w:w="1800"/>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Value completion</w:t>
            </w:r>
          </w:p>
        </w:tc>
        <w:tc>
          <w:tcPr>
            <w:tcW w:type="dxa" w:w="6408"/>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Activated accounts that confirm an achievement and export a CV within 7 days.</w:t>
            </w:r>
          </w:p>
        </w:tc>
        <w:tc>
          <w:tcPr>
            <w:tcW w:type="dxa" w:w="1627"/>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At least 40%</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Return capture</w:t>
            </w:r>
          </w:p>
        </w:tc>
        <w:tc>
          <w:tcPr>
            <w:tcW w:type="dxa" w:w="640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Activated accounts that save an activity in a second distinct week within 28 days.</w:t>
            </w:r>
          </w:p>
        </w:tc>
        <w:tc>
          <w:tcPr>
            <w:tcW w:type="dxa" w:w="162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At least 30%</w:t>
            </w:r>
          </w:p>
        </w:tc>
      </w:tr>
      <w:tr>
        <w:trPr>
          <w:cantSplit/>
        </w:trPr>
        <w:tc>
          <w:tcPr>
            <w:tcW w:type="dxa" w:w="1800"/>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Export reliability</w:t>
            </w:r>
          </w:p>
        </w:tc>
        <w:tc>
          <w:tcPr>
            <w:tcW w:type="dxa" w:w="6408"/>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Successful completed export jobs / terminal export jobs, excluding user cancellation.</w:t>
            </w:r>
          </w:p>
        </w:tc>
        <w:tc>
          <w:tcPr>
            <w:tcW w:type="dxa" w:w="1627"/>
            <w:vAlign w:val="center"/>
            <w:shd w:fill="F1F5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5" w:lineRule="auto"/>
            </w:pPr>
            <w:r>
              <w:rPr>
                <w:b w:val="0"/>
                <w:color w:val="000000"/>
                <w:sz w:val="18"/>
              </w:rPr>
              <w:t>At least 98%</w:t>
            </w:r>
          </w:p>
        </w:tc>
      </w:tr>
    </w:tbl>
    <w:p>
      <w:pPr>
        <w:spacing w:after="0"/>
      </w:pPr>
    </w:p>
    <w:p>
      <w:pPr>
        <w:pStyle w:val="Heading2"/>
      </w:pPr>
      <w:r>
        <w:t>Roadmap only</w:t>
      </w:r>
    </w:p>
    <w:p>
      <w:r>
        <w:t>v0.2 may add job description import, job fit analysis, achievement recommendations, and vacancy specific CV variants. v0.3 may add interview preparation, evidence analysis, skill gap insights, career summaries, cover letters, LinkedIn text, performance reviews, promotion cases, and portfolios. Local first sync and client side encryption require separate architecture decisions. Company dashboards, HRIS workflows, social feeds, recruiter search, billing, and paid tiers are outside v0.1.</w:t>
      </w:r>
    </w:p>
    <w:p>
      <w:pPr>
        <w:pStyle w:val="Heading2"/>
      </w:pPr>
      <w:r>
        <w:t>Specification handoff</w:t>
      </w:r>
    </w:p>
    <w:p>
      <w:r>
        <w:t>Use requirement IDs R01–R10 across the companion documents. User Flow defines F01–F07 journeys; Wireframe Screen by Screen defines S01–S14 surfaces; Database Schema defines canonical persistence and transaction boundaries. Build to the stated defaults for limits, language, and one master CV. Pricing remains a future experiment, with no subscription implementation in this release.</w:t>
      </w:r>
    </w:p>
    <w:sectPr w:rsidR="00FC693F" w:rsidRPr="0006063C" w:rsidSect="00034616">
      <w:footerReference w:type="default" r:id="rId9"/>
      <w:pgSz w:w="11909" w:h="16834"/>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WorkPulse  •  v0.1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4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WorkPulse Product Requirements</dc:title>
  <dc:subject>MVP implementation specification</dc:subject>
  <dc:creator>WorkPulse</dc:creator>
  <cp:keywords/>
  <dc:description>generated by python-docx</dc:description>
  <cp:lastModifiedBy/>
  <cp:revision>1</cp:revision>
  <dcterms:created xsi:type="dcterms:W3CDTF">2013-12-23T23:15:00Z</dcterms:created>
  <dcterms:modified xsi:type="dcterms:W3CDTF">2013-12-23T23:15:00Z</dcterms:modified>
  <cp:category/>
</cp:coreProperties>
</file>