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12"/>
        <w:gridCol w:w="1584"/>
      </w:tblGrid>
      <w:tr>
        <w:trPr>
          <w:trHeight w:val="1987" w:hRule="atLeast"/>
        </w:trPr>
        <w:tc>
          <w:tcPr>
            <w:tcW w:type="dxa" w:w="871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46"/>
              </w:rPr>
              <w:t>李祯</w:t>
            </w:r>
          </w:p>
          <w:p>
            <w:pPr>
              <w:spacing w:before="0" w:after="2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8"/>
              </w:rPr>
              <w:t>Unity 客户端开发工程师</w:t>
            </w:r>
          </w:p>
          <w:p>
            <w:pPr>
              <w:spacing w:before="0" w:after="20" w:line="240" w:lineRule="auto"/>
              <w:ind w:left="0" w:firstLine="0"/>
            </w:pP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7"/>
              </w:rPr>
              <w:t>男    |    2005.01    |    15196885396</w:t>
            </w:r>
          </w:p>
          <w:p>
            <w:pPr>
              <w:spacing w:before="0" w:after="20" w:line="240" w:lineRule="auto"/>
              <w:ind w:left="0" w:firstLine="0"/>
            </w:pP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7"/>
              </w:rPr>
              <w:t>2954046528@qq.com    |    武汉工程大学流芳校区</w:t>
            </w:r>
          </w:p>
        </w:tc>
        <w:tc>
          <w:tcPr>
            <w:tcW w:type="dxa" w:w="158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E9EEF8"/>
            <w:tcBorders>
              <w:top w:val="single" w:sz="8" w:space="0" w:color="B8C7E2"/>
              <w:left w:val="single" w:sz="8" w:space="0" w:color="B8C7E2"/>
              <w:bottom w:val="single" w:sz="8" w:space="0" w:color="B8C7E2"/>
              <w:right w:val="single" w:sz="8" w:space="0" w:color="B8C7E2"/>
              <w:insideH w:val="single" w:sz="8" w:space="0" w:color="B8C7E2"/>
              <w:insideV w:val="single" w:sz="8" w:space="0" w:color="B8C7E2"/>
            </w:tcBorders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5"/>
              </w:rPr>
              <w:t>寸照</w:t>
              <w:br/>
              <w:t>点击替换</w:t>
            </w:r>
          </w:p>
        </w:tc>
      </w:tr>
    </w:tbl>
    <w:p>
      <w:pPr>
        <w:spacing w:before="100" w:after="40" w:line="240" w:lineRule="auto"/>
        <w:ind w:left="0" w:firstLine="0"/>
      </w:pPr>
      <w:r>
        <w:rPr>
          <w:rFonts w:ascii="Microsoft YaHei" w:hAnsi="Microsoft YaHei" w:eastAsia="Microsoft YaHei"/>
          <w:b/>
          <w:i w:val="0"/>
          <w:color w:val="24458D"/>
          <w:sz w:val="21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24458D"/>
          <w:sz w:val="22"/>
        </w:rPr>
        <w:t>教育背景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6F8FB"/>
            <w:tcBorders>
              <w:top w:val="single" w:sz="6" w:space="0" w:color="DDE4EF"/>
              <w:left w:val="single" w:sz="6" w:space="0" w:color="DDE4EF"/>
              <w:bottom w:val="single" w:sz="6" w:space="0" w:color="DDE4EF"/>
              <w:right w:val="single" w:sz="6" w:space="0" w:color="DDE4EF"/>
              <w:insideH w:val="single" w:sz="6" w:space="0" w:color="DDE4EF"/>
              <w:insideV w:val="single" w:sz="6" w:space="0" w:color="DDE4EF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left="0" w:firstLine="0"/>
            </w:pP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Microsoft YaHei" w:hAnsi="Microsoft YaHei" w:eastAsia="Microsoft YaHei"/>
                <w:b/>
                <w:i w:val="0"/>
                <w:color w:val="202735"/>
                <w:sz w:val="18"/>
              </w:rPr>
              <w:t xml:space="preserve">                                      武汉工程大学</w:t>
            </w: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7"/>
              </w:rPr>
              <w:t xml:space="preserve">                                      数字媒体技术｜本科</w:t>
            </w:r>
          </w:p>
        </w:tc>
      </w:tr>
    </w:tbl>
    <w:p>
      <w:pPr>
        <w:spacing w:before="100" w:after="40" w:line="240" w:lineRule="auto"/>
        <w:ind w:left="0" w:firstLine="0"/>
      </w:pPr>
      <w:r>
        <w:rPr>
          <w:rFonts w:ascii="Microsoft YaHei" w:hAnsi="Microsoft YaHei" w:eastAsia="Microsoft YaHei"/>
          <w:b/>
          <w:i w:val="0"/>
          <w:color w:val="24458D"/>
          <w:sz w:val="21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24458D"/>
          <w:sz w:val="22"/>
        </w:rPr>
        <w:t>专业技能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6F8FB"/>
            <w:tcBorders>
              <w:top w:val="single" w:sz="6" w:space="0" w:color="DDE4EF"/>
              <w:left w:val="single" w:sz="6" w:space="0" w:color="DDE4EF"/>
              <w:bottom w:val="single" w:sz="6" w:space="0" w:color="DDE4EF"/>
              <w:right w:val="single" w:sz="6" w:space="0" w:color="DDE4EF"/>
              <w:insideH w:val="single" w:sz="6" w:space="0" w:color="DDE4EF"/>
              <w:insideV w:val="single" w:sz="6" w:space="0" w:color="DDE4EF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756"/>
              <w:gridCol w:w="8380"/>
            </w:tblGrid>
            <w:tr>
              <w:tc>
                <w:tcPr>
                  <w:tcW w:type="dxa" w:w="1195"/>
                  <w:shd w:fill="EAF0FF"/>
                  <w:tcBorders>
                    <w:top w:val="single" w:sz="0" w:space="0" w:color="EAF0FF"/>
                    <w:left w:val="single" w:sz="0" w:space="0" w:color="EAF0FF"/>
                    <w:bottom w:val="single" w:sz="0" w:space="0" w:color="EAF0FF"/>
                    <w:right w:val="single" w:sz="0" w:space="0" w:color="EAF0FF"/>
                    <w:insideH w:val="single" w:sz="0" w:space="0" w:color="EAF0FF"/>
                    <w:insideV w:val="single" w:sz="0" w:space="0" w:color="EAF0FF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i w:val="0"/>
                      <w:color w:val="24458D"/>
                      <w:sz w:val="16"/>
                    </w:rPr>
                    <w:t>C#</w:t>
                  </w:r>
                </w:p>
              </w:tc>
              <w:tc>
                <w:tcPr>
                  <w:tcW w:type="dxa" w:w="8568"/>
                  <w:tcBorders>
                    <w:top w:val="single" w:sz="0" w:space="0" w:color="F6F8FB"/>
                    <w:left w:val="single" w:sz="0" w:space="0" w:color="F6F8FB"/>
                    <w:bottom w:val="single" w:sz="0" w:space="0" w:color="F6F8FB"/>
                    <w:right w:val="single" w:sz="0" w:space="0" w:color="F6F8FB"/>
                    <w:insideH w:val="single" w:sz="0" w:space="0" w:color="F6F8FB"/>
                    <w:insideV w:val="single" w:sz="0" w:space="0" w:color="F6F8FB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02735"/>
                      <w:sz w:val="16"/>
                    </w:rPr>
                    <w:t>面向对象、委托事件、泛型、协程、GC</w:t>
                  </w:r>
                </w:p>
              </w:tc>
            </w:tr>
            <w:tr>
              <w:tc>
                <w:tcPr>
                  <w:tcW w:type="dxa" w:w="1195"/>
                  <w:shd w:fill="EAF0FF"/>
                  <w:tcBorders>
                    <w:top w:val="single" w:sz="0" w:space="0" w:color="EAF0FF"/>
                    <w:left w:val="single" w:sz="0" w:space="0" w:color="EAF0FF"/>
                    <w:bottom w:val="single" w:sz="0" w:space="0" w:color="EAF0FF"/>
                    <w:right w:val="single" w:sz="0" w:space="0" w:color="EAF0FF"/>
                    <w:insideH w:val="single" w:sz="0" w:space="0" w:color="EAF0FF"/>
                    <w:insideV w:val="single" w:sz="0" w:space="0" w:color="EAF0FF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i w:val="0"/>
                      <w:color w:val="24458D"/>
                      <w:sz w:val="16"/>
                    </w:rPr>
                    <w:t>Unity 核心</w:t>
                  </w:r>
                </w:p>
              </w:tc>
              <w:tc>
                <w:tcPr>
                  <w:tcW w:type="dxa" w:w="8568"/>
                  <w:tcBorders>
                    <w:top w:val="single" w:sz="0" w:space="0" w:color="F6F8FB"/>
                    <w:left w:val="single" w:sz="0" w:space="0" w:color="F6F8FB"/>
                    <w:bottom w:val="single" w:sz="0" w:space="0" w:color="F6F8FB"/>
                    <w:right w:val="single" w:sz="0" w:space="0" w:color="F6F8FB"/>
                    <w:insideH w:val="single" w:sz="0" w:space="0" w:color="F6F8FB"/>
                    <w:insideV w:val="single" w:sz="0" w:space="0" w:color="F6F8FB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02735"/>
                      <w:sz w:val="16"/>
                    </w:rPr>
                    <w:t>UGUI、Animator、Cinemachine、Input System、NavMesh、Tilemap</w:t>
                  </w:r>
                </w:p>
              </w:tc>
            </w:tr>
            <w:tr>
              <w:tc>
                <w:tcPr>
                  <w:tcW w:type="dxa" w:w="1195"/>
                  <w:shd w:fill="EAF0FF"/>
                  <w:tcBorders>
                    <w:top w:val="single" w:sz="0" w:space="0" w:color="EAF0FF"/>
                    <w:left w:val="single" w:sz="0" w:space="0" w:color="EAF0FF"/>
                    <w:bottom w:val="single" w:sz="0" w:space="0" w:color="EAF0FF"/>
                    <w:right w:val="single" w:sz="0" w:space="0" w:color="EAF0FF"/>
                    <w:insideH w:val="single" w:sz="0" w:space="0" w:color="EAF0FF"/>
                    <w:insideV w:val="single" w:sz="0" w:space="0" w:color="EAF0FF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i w:val="0"/>
                      <w:color w:val="24458D"/>
                      <w:sz w:val="16"/>
                    </w:rPr>
                    <w:t>工程化</w:t>
                  </w:r>
                </w:p>
              </w:tc>
              <w:tc>
                <w:tcPr>
                  <w:tcW w:type="dxa" w:w="8568"/>
                  <w:tcBorders>
                    <w:top w:val="single" w:sz="0" w:space="0" w:color="F6F8FB"/>
                    <w:left w:val="single" w:sz="0" w:space="0" w:color="F6F8FB"/>
                    <w:bottom w:val="single" w:sz="0" w:space="0" w:color="F6F8FB"/>
                    <w:right w:val="single" w:sz="0" w:space="0" w:color="F6F8FB"/>
                    <w:insideH w:val="single" w:sz="0" w:space="0" w:color="F6F8FB"/>
                    <w:insideV w:val="single" w:sz="0" w:space="0" w:color="F6F8FB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02735"/>
                      <w:sz w:val="16"/>
                    </w:rPr>
                    <w:t>ScriptableObject、Addressables、对象池、Profiler、Draw Call 优化</w:t>
                  </w:r>
                </w:p>
              </w:tc>
            </w:tr>
            <w:tr>
              <w:tc>
                <w:tcPr>
                  <w:tcW w:type="dxa" w:w="1195"/>
                  <w:shd w:fill="EAF0FF"/>
                  <w:tcBorders>
                    <w:top w:val="single" w:sz="0" w:space="0" w:color="EAF0FF"/>
                    <w:left w:val="single" w:sz="0" w:space="0" w:color="EAF0FF"/>
                    <w:bottom w:val="single" w:sz="0" w:space="0" w:color="EAF0FF"/>
                    <w:right w:val="single" w:sz="0" w:space="0" w:color="EAF0FF"/>
                    <w:insideH w:val="single" w:sz="0" w:space="0" w:color="EAF0FF"/>
                    <w:insideV w:val="single" w:sz="0" w:space="0" w:color="EAF0FF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i w:val="0"/>
                      <w:color w:val="24458D"/>
                      <w:sz w:val="16"/>
                    </w:rPr>
                    <w:t>架构设计</w:t>
                  </w:r>
                </w:p>
              </w:tc>
              <w:tc>
                <w:tcPr>
                  <w:tcW w:type="dxa" w:w="8568"/>
                  <w:tcBorders>
                    <w:top w:val="single" w:sz="0" w:space="0" w:color="F6F8FB"/>
                    <w:left w:val="single" w:sz="0" w:space="0" w:color="F6F8FB"/>
                    <w:bottom w:val="single" w:sz="0" w:space="0" w:color="F6F8FB"/>
                    <w:right w:val="single" w:sz="0" w:space="0" w:color="F6F8FB"/>
                    <w:insideH w:val="single" w:sz="0" w:space="0" w:color="F6F8FB"/>
                    <w:insideV w:val="single" w:sz="0" w:space="0" w:color="F6F8FB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02735"/>
                      <w:sz w:val="16"/>
                    </w:rPr>
                    <w:t>MVC、FSM、观察者模式、泛型单例、事件系统、QFramework 分层</w:t>
                  </w:r>
                </w:p>
              </w:tc>
            </w:tr>
            <w:tr>
              <w:tc>
                <w:tcPr>
                  <w:tcW w:type="dxa" w:w="1195"/>
                  <w:shd w:fill="EAF0FF"/>
                  <w:tcBorders>
                    <w:top w:val="single" w:sz="0" w:space="0" w:color="EAF0FF"/>
                    <w:left w:val="single" w:sz="0" w:space="0" w:color="EAF0FF"/>
                    <w:bottom w:val="single" w:sz="0" w:space="0" w:color="EAF0FF"/>
                    <w:right w:val="single" w:sz="0" w:space="0" w:color="EAF0FF"/>
                    <w:insideH w:val="single" w:sz="0" w:space="0" w:color="EAF0FF"/>
                    <w:insideV w:val="single" w:sz="0" w:space="0" w:color="EAF0FF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Microsoft YaHei" w:hAnsi="Microsoft YaHei" w:eastAsia="Microsoft YaHei"/>
                      <w:b/>
                      <w:i w:val="0"/>
                      <w:color w:val="24458D"/>
                      <w:sz w:val="16"/>
                    </w:rPr>
                    <w:t>工具协作</w:t>
                  </w:r>
                </w:p>
              </w:tc>
              <w:tc>
                <w:tcPr>
                  <w:tcW w:type="dxa" w:w="8568"/>
                  <w:tcBorders>
                    <w:top w:val="single" w:sz="0" w:space="0" w:color="F6F8FB"/>
                    <w:left w:val="single" w:sz="0" w:space="0" w:color="F6F8FB"/>
                    <w:bottom w:val="single" w:sz="0" w:space="0" w:color="F6F8FB"/>
                    <w:right w:val="single" w:sz="0" w:space="0" w:color="F6F8FB"/>
                    <w:insideH w:val="single" w:sz="0" w:space="0" w:color="F6F8FB"/>
                    <w:insideV w:val="single" w:sz="0" w:space="0" w:color="F6F8FB"/>
                  </w:tcBorders>
                  <w:tcMar>
                    <w:top w:w="42" w:type="dxa"/>
                    <w:start w:w="75" w:type="dxa"/>
                    <w:bottom w:w="42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Microsoft YaHei" w:hAnsi="Microsoft YaHei" w:eastAsia="Microsoft YaHei"/>
                      <w:b w:val="0"/>
                      <w:i w:val="0"/>
                      <w:color w:val="202735"/>
                      <w:sz w:val="16"/>
                    </w:rPr>
                    <w:t>Unity Editor、Git、GitHub、NUnit</w:t>
                  </w:r>
                </w:p>
              </w:tc>
            </w:tr>
          </w:tbl>
          <w:p/>
        </w:tc>
      </w:tr>
    </w:tbl>
    <w:p>
      <w:pPr>
        <w:spacing w:before="100" w:after="40" w:line="240" w:lineRule="auto"/>
        <w:ind w:left="0" w:firstLine="0"/>
      </w:pPr>
      <w:r>
        <w:rPr>
          <w:rFonts w:ascii="Microsoft YaHei" w:hAnsi="Microsoft YaHei" w:eastAsia="Microsoft YaHei"/>
          <w:b/>
          <w:i w:val="0"/>
          <w:color w:val="24458D"/>
          <w:sz w:val="21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24458D"/>
          <w:sz w:val="22"/>
        </w:rPr>
        <w:t>实习经历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6F8FB"/>
            <w:tcBorders>
              <w:top w:val="single" w:sz="6" w:space="0" w:color="DDE4EF"/>
              <w:left w:val="single" w:sz="6" w:space="0" w:color="DDE4EF"/>
              <w:bottom w:val="single" w:sz="6" w:space="0" w:color="DDE4EF"/>
              <w:right w:val="single" w:sz="6" w:space="0" w:color="DDE4EF"/>
              <w:insideH w:val="single" w:sz="6" w:space="0" w:color="DDE4EF"/>
              <w:insideV w:val="single" w:sz="6" w:space="0" w:color="DDE4EF"/>
            </w:tcBorders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02735"/>
                <w:sz w:val="17"/>
              </w:rPr>
              <w:t>XX科技有限公司</w:t>
            </w: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6"/>
              </w:rPr>
              <w:t xml:space="preserve">  |  Unity 开发实习生  |  20XX.XX - 20XX.XX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根据接口下发的楼层数据同步电梯模型状态，通过插值实现模型向目标楼层平滑移动。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>
            <w:pPr>
              <w:spacing w:before="0" w:after="2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搭建与面板切换，实现考试选择、学生/班组筛选及新增人员逻辑。</w:t>
            </w:r>
          </w:p>
        </w:tc>
      </w:tr>
    </w:tbl>
    <w:p>
      <w:pPr>
        <w:spacing w:before="100" w:after="40" w:line="240" w:lineRule="auto"/>
        <w:ind w:left="0" w:firstLine="0"/>
      </w:pPr>
      <w:r>
        <w:rPr>
          <w:rFonts w:ascii="Microsoft YaHei" w:hAnsi="Microsoft YaHei" w:eastAsia="Microsoft YaHei"/>
          <w:b/>
          <w:i w:val="0"/>
          <w:color w:val="24458D"/>
          <w:sz w:val="21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24458D"/>
          <w:sz w:val="22"/>
        </w:rPr>
        <w:t>项目经历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6F8FB"/>
            <w:tcBorders>
              <w:top w:val="single" w:sz="6" w:space="0" w:color="DDE4EF"/>
              <w:left w:val="single" w:sz="6" w:space="0" w:color="DDE4EF"/>
              <w:bottom w:val="single" w:sz="6" w:space="0" w:color="DDE4EF"/>
              <w:right w:val="single" w:sz="6" w:space="0" w:color="DDE4EF"/>
              <w:insideH w:val="single" w:sz="6" w:space="0" w:color="DDE4EF"/>
              <w:insideV w:val="single" w:sz="6" w:space="0" w:color="DDE4EF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20" w:after="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>
            <w:pPr>
              <w:spacing w:before="20" w:after="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>
            <w:pPr>
              <w:spacing w:before="20" w:after="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>
            <w:pPr>
              <w:spacing w:before="20" w:after="0" w:line="240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Microsoft YaHei" w:hAnsi="Microsoft YaHei" w:eastAsia="Microsoft YaHei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>
            <w:pPr>
              <w:spacing w:before="0" w:after="0" w:line="240" w:lineRule="auto"/>
              <w:ind w:left="173" w:hanging="173"/>
            </w:pPr>
            <w:r>
              <w:rPr>
                <w:rFonts w:ascii="Microsoft YaHei" w:hAnsi="Microsoft YaHei" w:eastAsia="Microsoft YaHei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>
      <w:pPr>
        <w:spacing w:before="100" w:after="40" w:line="240" w:lineRule="auto"/>
        <w:ind w:left="0" w:firstLine="0"/>
      </w:pPr>
      <w:r>
        <w:rPr>
          <w:rFonts w:ascii="Microsoft YaHei" w:hAnsi="Microsoft YaHei" w:eastAsia="Microsoft YaHei"/>
          <w:b/>
          <w:i w:val="0"/>
          <w:color w:val="24458D"/>
          <w:sz w:val="21"/>
        </w:rPr>
        <w:t xml:space="preserve">◆ </w:t>
      </w:r>
      <w:r>
        <w:rPr>
          <w:rFonts w:ascii="Microsoft YaHei" w:hAnsi="Microsoft YaHei" w:eastAsia="Microsoft YaHei"/>
          <w:b/>
          <w:i w:val="0"/>
          <w:color w:val="24458D"/>
          <w:sz w:val="22"/>
        </w:rPr>
        <w:t>自我评价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296"/>
            <w:shd w:fill="F6F8FB"/>
            <w:tcBorders>
              <w:top w:val="single" w:sz="6" w:space="0" w:color="DDE4EF"/>
              <w:left w:val="single" w:sz="6" w:space="0" w:color="DDE4EF"/>
              <w:bottom w:val="single" w:sz="6" w:space="0" w:color="DDE4EF"/>
              <w:right w:val="single" w:sz="6" w:space="0" w:color="DDE4EF"/>
              <w:insideH w:val="single" w:sz="6" w:space="0" w:color="DDE4EF"/>
              <w:insideV w:val="single" w:sz="6" w:space="0" w:color="DDE4EF"/>
            </w:tcBorders>
            <w:tcMar>
              <w:top w:w="75" w:type="dxa"/>
              <w:start w:w="120" w:type="dxa"/>
              <w:bottom w:w="7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ind w:left="0" w:firstLine="0"/>
            </w:pPr>
            <w:r>
              <w:rPr>
                <w:rFonts w:ascii="Microsoft YaHei" w:hAnsi="Microsoft YaHei" w:eastAsia="Microsoft YaHei"/>
                <w:b w:val="0"/>
                <w:i w:val="0"/>
                <w:color w:val="202735"/>
                <w:sz w:val="16"/>
              </w:rPr>
              <w:t>具备 Unity/C# 实际项目开发经验，参与过数字孪生和 2D、3D 游戏项目，熟悉 UI 交互、实体状态同步、数据驱动、游戏架构和 Unity 编辑器工具开发。能够从需求拆解、功能实现到问题定位完成模块闭环，并持续通过测试和重构提升代码稳定性。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490" w:right="691" w:bottom="461" w:left="691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0" w:firstLine="0"/>
      <w:jc w:val="right"/>
    </w:pPr>
    <w:r>
      <w:rPr>
        <w:rFonts w:ascii="Microsoft YaHei" w:hAnsi="Microsoft YaHei" w:eastAsia="Microsoft YaHei"/>
        <w:b w:val="0"/>
        <w:i w:val="0"/>
        <w:color w:val="8A94A6"/>
        <w:sz w:val="14"/>
      </w:rPr>
      <w:t>李祯｜Unity 客户端开发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7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