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"/>
      </w:pPr>
      <w:r>
        <w:rPr>
          <w:rFonts w:ascii="Arial" w:cs="Arial" w:eastAsia="Arial" w:hAnsi="Arial"/>
          <w:b/>
          <w:bCs/>
          <w:color w:val="6B21A8"/>
          <w:sz w:val="44"/>
          <w:szCs w:val="44"/>
        </w:rPr>
        <w:t xml:space="preserve">Slab Guard™ API Licensing</w:t>
      </w:r>
    </w:p>
    <w:p>
      <w:pPr>
        <w:spacing w:after="8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Partnership Proposal for Inventory Management Platforms</w:t>
      </w:r>
    </w:p>
    <w:p>
      <w:pPr>
        <w:pBdr>
          <w:bottom w:val="single" w:color="D97706" w:sz="8" w:space="1"/>
        </w:pBdr>
        <w:spacing w:after="30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The Opportunity</w:t>
      </w:r>
    </w:p>
    <w:p>
      <w:pPr>
        <w:spacing w:after="120"/>
      </w:pPr>
      <w:r>
        <w:t xml:space="preserve">Comic book theft and fraud cost collectors and dealers millions annually. Slab Guard™ is the </w:t>
      </w:r>
      <w:r>
        <w:rPr>
          <w:b/>
          <w:bCs/>
        </w:rPr>
        <w:t xml:space="preserve">only patent-pending</w:t>
      </w:r>
      <w:r>
        <w:t xml:space="preserve"> comic fingerprinting and theft recovery system on the market. By licensing Slab Guard to inventory platforms, dealers can protect their high-value inventory at the point of intake — and your platform becomes the only one that offers built-in theft protection.</w:t>
      </w:r>
    </w:p>
    <w:p>
      <w:pPr>
        <w:pStyle w:val="Heading2"/>
      </w:pPr>
      <w:r>
        <w:t xml:space="preserve">What the Partner 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Composite Fingerprinting API: </w:t>
      </w:r>
      <w:r>
        <w:t xml:space="preserve">Register comics using 4-algorithm, multi-angle fingerprinting (pHash + dHash + aHash + wHash). Patent-pending technology with 309-bit separation between different copies.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Marketplace Monitoring: </w:t>
      </w:r>
      <w:r>
        <w:t xml:space="preserve">Registered comics are automatically monitored across eBay, Whatnot, and other marketplaces for potential stolen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Verification Pages: </w:t>
      </w:r>
      <w:r>
        <w:t xml:space="preserve">Each registered comic gets a unique serial number (SW-YYYY-NNNNNN) and a public verification page at slabworthy.com/verify.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Slab Guard Shield Badge: </w:t>
      </w:r>
      <w:r>
        <w:t xml:space="preserve">Display the Slab Guard shield on protected listings — a trust signal that tells buyers this comic is registered and verified.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White-Label Options: </w:t>
      </w:r>
      <w:r>
        <w:t xml:space="preserve">Co-branded verification pages, custom API endpoints, and partner dashboard for managing registrations.</w:t>
      </w:r>
    </w:p>
    <w:p>
      <w:pPr>
        <w:pStyle w:val="Heading2"/>
        <w:spacing w:before="280"/>
      </w:pPr>
      <w:r>
        <w:t xml:space="preserve">Proposed Pricing</w:t>
      </w:r>
    </w:p>
    <w:p>
      <w:pPr>
        <w:spacing w:after="160"/>
      </w:pPr>
      <w:r>
        <w:t xml:space="preserve">Tiered monthly licensing aligned to partner platform tiers. Pricing designed as a modest add-on, not a budget shock — roughly 35–40% of the partner’s existing subscription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60"/>
        <w:gridCol w:w="1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Registrations/mo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Slab Guard Fee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Comic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Price*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 to 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$15/mo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~$0.03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$40/mo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 to 2,500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$50/mo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~$0.02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$125/mo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 to 25,000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$150/mo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~$0.006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$400/mo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Custom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Negotiated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</w:t>
            </w:r>
          </w:p>
        </w:tc>
      </w:tr>
    </w:tbl>
    <w:p>
      <w:pPr>
        <w:spacing w:before="80" w:after="200"/>
      </w:pPr>
      <w:r>
        <w:rPr>
          <w:i/>
          <w:iCs/>
          <w:color w:val="6B7280"/>
          <w:sz w:val="18"/>
          <w:szCs w:val="18"/>
        </w:rPr>
        <w:t xml:space="preserve">*Partner Price = their existing subscription cost. Slab Guard fee is an add-on.</w:t>
      </w:r>
    </w:p>
    <w:p>
      <w:pPr>
        <w:pStyle w:val="Heading2"/>
      </w:pPr>
      <w:r>
        <w:t xml:space="preserve">Economics for the Partner</w:t>
      </w:r>
    </w:p>
    <w:p>
      <w:pPr>
        <w:spacing w:after="100"/>
      </w:pPr>
      <w:r>
        <w:t xml:space="preserve">Partners can pass through the Slab Guard fee at a markup, creating a new revenue stream: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960"/>
        <w:gridCol w:w="1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Fee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Charges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 Margin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Markup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$25/mo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$10/mo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$50/mo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$75/mo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$25/mo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$150/mo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$200/mo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$50/mo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33%</w:t>
            </w:r>
          </w:p>
        </w:tc>
      </w:tr>
    </w:tbl>
    <w:p>
      <w:pPr>
        <w:spacing w:before="100" w:after="200"/>
      </w:pPr>
      <w:r>
        <w:rPr>
          <w:sz w:val="20"/>
          <w:szCs w:val="20"/>
        </w:rPr>
        <w:t xml:space="preserve">The partner earns margin on every tier while offering a premium feature no competitor has.</w:t>
      </w:r>
    </w:p>
    <w:p>
      <w:pPr>
        <w:pStyle w:val="Heading2"/>
      </w:pPr>
      <w:r>
        <w:t xml:space="preserve">Why Now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Slab Guard is patent-pending (filed Feb 12, 2026) — first-mover advantage for partners who integrate early.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No competing theft protection system exists in the comic collectibles market.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Composite fingerprinting is tested and deployed in production with 309-bit separation margin.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The collector market is growing: CGC/CBCS process 500K–1M comics per year, with high-value books increasingly targeted by fraud.</w:t>
      </w:r>
    </w:p>
    <w:p>
      <w:pPr>
        <w:pStyle w:val="Heading2"/>
        <w:spacing w:before="240"/>
      </w:pPr>
      <w:r>
        <w:t xml:space="preserve">Next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Introductory call to discuss integration scope and timeline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API sandbox access for technical evaluation (2–4 weeks)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Pilot program: 90-day trial with select dealer accounts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Full integration and co-marketing launch</w:t>
      </w:r>
    </w:p>
    <w:p>
      <w:pPr>
        <w:pBdr>
          <w:top w:val="single" w:color="D97706" w:sz="4" w:space="8"/>
        </w:pBdr>
        <w:spacing w:before="300"/>
      </w:pPr>
    </w:p>
    <w:p>
      <w:pPr>
        <w:spacing w:before="80" w:after="40"/>
        <w:jc w:val="center"/>
      </w:pPr>
      <w:r>
        <w:rPr>
          <w:b/>
          <w:bCs/>
          <w:color w:val="6B21A8"/>
          <w:sz w:val="24"/>
          <w:szCs w:val="24"/>
        </w:rPr>
        <w:t xml:space="preserve">Ready to explore a partnership?</w:t>
      </w:r>
    </w:p>
    <w:p>
      <w:pPr>
        <w:spacing w:after="40"/>
        <w:jc w:val="center"/>
      </w:pPr>
      <w:r>
        <w:rPr>
          <w:color w:val="4B5563"/>
          <w:sz w:val="21"/>
          <w:szCs w:val="21"/>
        </w:rPr>
        <w:t xml:space="preserve">Mike Berry  •  Founder, Slab Worthy</w:t>
      </w:r>
    </w:p>
    <w:p>
      <w:pPr>
        <w:jc w:val="center"/>
      </w:pPr>
      <w:r>
        <w:rPr>
          <w:color w:val="4338CA"/>
          <w:sz w:val="21"/>
          <w:szCs w:val="21"/>
        </w:rPr>
        <w:t xml:space="preserve">support@slabworthy.com  •  slabworthy.com</w:t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CONFIDENTIAL  •  slabworthy.com  •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SLAB WORTHY</w:t>
    </w:r>
    <w:r>
      <w:rPr>
        <w:rFonts w:ascii="Arial" w:cs="Arial" w:eastAsia="Arial" w:hAnsi="Arial"/>
        <w:color w:val="E5E7EB"/>
        <w:sz w:val="18"/>
        <w:szCs w:val="18"/>
      </w:rPr>
      <w:t xml:space="preserve">  |  </w:t>
    </w:r>
    <w:r>
      <w:rPr>
        <w:rFonts w:ascii="Arial" w:cs="Arial" w:eastAsia="Arial" w:hAnsi="Arial"/>
        <w:color w:val="6B7280"/>
        <w:sz w:val="18"/>
        <w:szCs w:val="18"/>
      </w:rPr>
      <w:t xml:space="preserve">Slab Guard™ Licensing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338C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2026-02-17T15:34:14.851Z</dcterms:created>
  <dcterms:modified xsi:type="dcterms:W3CDTF">2026-02-17T15:34:14.851Z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