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INVESTOR MEETING PREP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Ralph H. — Managing Partner, V0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Target: $500K Seed Investment in Lucent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February 20, 2026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Investor Profile: Ralph 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Managing Partner, V0 (his own fund, est. Feb 2024)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COO, Sequoia Capital Global Equities (8+ years) — built &amp; ran private/public crossover fund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COO, Clarium Capital (Peter Thiel’s macro fund)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VP Finance &amp; Treasurer, PayPal (1999–2003, early team)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VP &amp; Asst. Treasurer, Bank of America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BS Management Science, UC San Diego (Board of Trustees)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CFA Charterholder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Burlingame, CA (SF Bay Area)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Mike Berry (mutual PayPal alum); 2 mutual connections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What Ralph Cares About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his background, Ralph will evaluate Lucent through these lenses: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Economics &amp; Margins: </w:t>
      </w:r>
      <w:r>
        <w:rPr>
          <w:rFonts w:ascii="Arial" w:cs="Arial" w:eastAsia="Arial" w:hAnsi="Arial"/>
          <w:sz w:val="22"/>
          <w:szCs w:val="22"/>
        </w:rPr>
        <w:t xml:space="preserve">He ran fund operations at Sequoia. He’ll want to see cost-per-generation vs. revenue-per-user, gross margin trajectory, and how the credit-based model scales.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/ Concentration Risk: </w:t>
      </w:r>
      <w:r>
        <w:rPr>
          <w:rFonts w:ascii="Arial" w:cs="Arial" w:eastAsia="Arial" w:hAnsi="Arial"/>
          <w:sz w:val="22"/>
          <w:szCs w:val="22"/>
        </w:rPr>
        <w:t xml:space="preserve">What happens if OpenAI, Google, or ByteDance cuts off API access or raises prices? How does Lucent maintain supply diversity?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Efficiency: </w:t>
      </w:r>
      <w:r>
        <w:rPr>
          <w:rFonts w:ascii="Arial" w:cs="Arial" w:eastAsia="Arial" w:hAnsi="Arial"/>
          <w:sz w:val="22"/>
          <w:szCs w:val="22"/>
        </w:rPr>
        <w:t xml:space="preserve">What’s the burn rate? How far does $500K go? What milestones does it unlock before next raise?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&amp; IP Exposure: </w:t>
      </w:r>
      <w:r>
        <w:rPr>
          <w:rFonts w:ascii="Arial" w:cs="Arial" w:eastAsia="Arial" w:hAnsi="Arial"/>
          <w:sz w:val="22"/>
          <w:szCs w:val="22"/>
        </w:rPr>
        <w:t xml:space="preserve">With Seedance 2.0 controversy this week, he’ll ask about copyright liability. Lucent’s aggregator position (not training models) is a strength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 Returns Math: </w:t>
      </w:r>
      <w:r>
        <w:rPr>
          <w:rFonts w:ascii="Arial" w:cs="Arial" w:eastAsia="Arial" w:hAnsi="Arial"/>
          <w:sz w:val="22"/>
          <w:szCs w:val="22"/>
        </w:rPr>
        <w:t xml:space="preserve">He thinks in multiples. What’s the path to 10x? What does the exit landscape look like?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Lucent Talking Points (What to Have Ready)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3a. The Market Opportunity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video generation market is exploding — Seedance 2.0 going viral this week is perfect timing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landscape is fragmenting rapidly: Sora, Veo, Kling, Seedance, Wan, and more. No single winner yet.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Fragmentation = aggregator opportunity. When there are 20+ models and no clear winner, users need a single pane of glass.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Lucent’s TAM: marketers, content creators, agencies, small businesses producing video content at scale.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3b. Why Lucent Wins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20+ models in one interface (Sora, Veo, Kling, Seedance, Wan, and more) — no other platform has this breadth.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prompt optimization auto-tunes prompts for each model’s strengths.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Credit-based pricing: one subscription, spend across all models. Users don’t manage 10 accounts.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access to unreleased models (Veo 3.1, Sora 2) gives users a competitive edge.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Model-agnostic = Lucent benefits every time a new model launches rather than being threatened by it.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3c. Numbers Ralph Will Ask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Founders should be prepared to share: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Prepare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MRR / ARR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revenue and month-over-month growth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registered, MAU, and paying conversion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Unit Economics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 per generation (by model) vs. revenue per credit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and target at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Monthly spend and runway at current burn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of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Exactly what $500K unlocks (team, infra, model access)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metrics will trigger the next raise (Series A readiness)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DAU/MAU ratio, cohort retention curves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CAC / LTV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Customer acquisition cost and lifetime value (even early estimates)</w:t>
            </w:r>
          </w:p>
        </w:tc>
      </w:tr>
    </w:tbl>
    <w:p>
      <w:r>
        <w:br w:type="page"/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3d. Risk Mitigation Answers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clear, concise answers for these concerns: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Dependency: </w:t>
      </w:r>
      <w:r>
        <w:rPr>
          <w:rFonts w:ascii="Arial" w:cs="Arial" w:eastAsia="Arial" w:hAnsi="Arial"/>
          <w:sz w:val="22"/>
          <w:szCs w:val="22"/>
        </w:rPr>
        <w:t xml:space="preserve">"We integrate 20+ models across multiple providers (OpenAI, Google, ByteDance, open-source). No single provider represents more than X% of our generations. If one cuts access, users seamlessly shift to alternatives."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Copyright / Legal: </w:t>
      </w:r>
      <w:r>
        <w:rPr>
          <w:rFonts w:ascii="Arial" w:cs="Arial" w:eastAsia="Arial" w:hAnsi="Arial"/>
          <w:sz w:val="22"/>
          <w:szCs w:val="22"/>
        </w:rPr>
        <w:t xml:space="preserve">"We’re an access layer, not a model trainer. We don’t own or control training data. Our ToS places content responsibility on users, similar to cloud compute providers."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Moat / Defensibility: </w:t>
      </w:r>
      <w:r>
        <w:rPr>
          <w:rFonts w:ascii="Arial" w:cs="Arial" w:eastAsia="Arial" w:hAnsi="Arial"/>
          <w:sz w:val="22"/>
          <w:szCs w:val="22"/>
        </w:rPr>
        <w:t xml:space="preserve">"Our moat is the orchestration layer: prompt optimization, model routing, and the user workflow we’ve built. Big model providers want to sell compute, not build aggregator UX. Plus, our early-access partnerships create switching costs."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Competition: </w:t>
      </w:r>
      <w:r>
        <w:rPr>
          <w:rFonts w:ascii="Arial" w:cs="Arial" w:eastAsia="Arial" w:hAnsi="Arial"/>
          <w:sz w:val="22"/>
          <w:szCs w:val="22"/>
        </w:rPr>
        <w:t xml:space="preserve">"Poe (Quora) aggregates LLMs but not video models. RunwayML and Pika are single-model. No one else combines OpenAI, Google, and ByteDance video models with smart routing in one chat interface."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Timing: </w:t>
      </w:r>
      <w:r>
        <w:rPr>
          <w:rFonts w:ascii="Arial" w:cs="Arial" w:eastAsia="Arial" w:hAnsi="Arial"/>
          <w:sz w:val="22"/>
          <w:szCs w:val="22"/>
        </w:rPr>
        <w:t xml:space="preserve">"The Seedance 2.0 launch this week proves the model landscape is accelerating faster than anyone predicted. Every new model makes our aggregation thesis stronger."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Meeting Strategy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4a. 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Mike: leverage the PayPal connection. Warm intro, shared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Founders: brief, crisp product demo. Show Lucent generating video from the same prompt across 3 models side-by-side. This is the “aha moment.”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4b. Middle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the business, not the tech. Ralph is a finance/ops person. Talk margins and unit economics early.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the opportunity in terms Ralph understands: “This is the Bloomberg Terminal for AI-generated content.” One interface, many data sources, professional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traction: user growth charts, revenue, and retention. Even early numbers matter at seed stage.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4c. The Ask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specific: $500K at [valuation], [what it funds], [what milestones it hits].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path to Series A: “With this capital, we hit [X users / Y MRR / Z milestone] in 12 months, positioning us for a $5–10M Series A.”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comparable exits / valuations in the AI creative tools space.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4d. What NOT to Do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Don’t over-index on technical architecture. Ralph wants to know it works, not how the routing algorithm functions.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Don’t be vague on use of funds. He’s allocated capital at Sequoia — he expects specificity.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Don’t dismiss the API dependency risk. Acknowledge it and show the mitigation strategy.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Comparable Investments &amp; Exits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 points Ralph may use to evaluate the opportunity: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Jasper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content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$1.5B (2022)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generation aggregator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video (single model)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$4B (2024)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gen, but single-model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video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$470M (2023)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gen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 (Quora)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aggregator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(Quora subsidiary)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chat, text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$26B (2024)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tool democratization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One-Line Summary</w:t>
      </w:r>
    </w:p>
    <w:p>
      <w:pPr>
        <w:pBdr>
          <w:top w:val="single" w:color="1B4F72" w:sz="2" w:space="8"/>
          <w:bottom w:val="single" w:color="1B4F72" w:sz="2" w:space="8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"Lucent is the single interface for the AI video revolution — model-agnostic, creator-friendly, and positioned to win regardless of which model leads next week."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spacing w:after="12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 |  Lucent Seed Round  |  Investor Meeting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2026-02-20T21:16:12.619Z</dcterms:created>
  <dcterms:modified xsi:type="dcterms:W3CDTF">2026-02-20T21:16:12.619Z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