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Thai" w:cs="Noto Sans Thai" w:eastAsia="Noto Sans Thai" w:hAnsi="Noto Sans Thai"/>
          <w:b w:val="1"/>
          <w:bCs w:val="1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Conclusions</w:t>
      </w:r>
    </w:p>
    <w:p w:rsidR="00000000" w:rsidDel="00000000" w:rsidP="00000000" w:rsidRDefault="00000000" w:rsidRPr="00000000" w14:paraId="00000002">
      <w:pPr>
        <w:ind w:firstLine="720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จากการศึกษาหลักการโจมตีโดยอ้างอิงจาก OWASP ที่มีวิธีการทดสอบแบบเยอะมากๆ ทางผู้จัดทำเลยเลือกมา 5 หัวข้อในการทดสอบ พบว่าเป็นสิ่งที่สำคัญเป็นอย่างมากต่อการปลอดภัยจากภัยคุกคามด้านการโจมตีจากคนไม่พึ่งประสงค์ ดังนั้น </w:t>
      </w: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เว็บไซต์ &lt;i&gt;Judge นั้นค่อนข้างปลอดภัยเป็นไปตามหลักมาตรฐานของ OWASP Web Testing Standard Guide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Tha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