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aps/>
          <w:color w:val="5A5A5A"/>
          <w:sz w:val="16"/>
          <w:spacing w:val="120"/>
        </w:rPr>
        <w:t>PORTAFOLIO</w:t>
      </w:r>
    </w:p>
    <w:p>
      <w:pPr>
        <w:spacing w:after="40"/>
      </w:pPr>
      <w:r>
        <w:rPr>
          <w:rFonts w:ascii="Segoe UI" w:hAnsi="Segoe UI"/>
          <w:b/>
          <w:color w:val="111111"/>
          <w:sz w:val="52"/>
        </w:rPr>
        <w:t>Vicente Cáceres Farías</w:t>
      </w:r>
    </w:p>
    <w:p>
      <w:pPr>
        <w:spacing w:after="180"/>
        <w:pBdr>
          <w:bottom w:val="single" w:sz="18" w:space="6" w:color="1F4E5F"/>
        </w:pBdr>
      </w:pPr>
      <w:r>
        <w:rPr>
          <w:rFonts w:ascii="Segoe UI" w:hAnsi="Segoe UI"/>
          <w:color w:val="5A5A5A"/>
          <w:sz w:val="26"/>
        </w:rPr>
        <w:t>Estado del proyecto, investigación y plan de trabajo</w:t>
      </w:r>
    </w:p>
    <w:p>
      <w:pPr>
        <w:spacing w:before="160" w:after="280"/>
      </w:pPr>
      <w:r>
        <w:rPr>
          <w:rFonts w:ascii="Segoe UI" w:hAnsi="Segoe UI"/>
          <w:b/>
          <w:i w:val="0"/>
          <w:caps w:val="0"/>
          <w:color w:val="1F4E5F"/>
          <w:sz w:val="20"/>
        </w:rPr>
        <w:t>Actualizado al 20 de septiembre de 2026</w:t>
      </w:r>
    </w:p>
    <w:tbl>
      <w:tblPr>
        <w:tblW w:type="auto" w:w="0"/>
        <w:tblLayout w:type="fixed"/>
        <w:tblLook w:firstColumn="1" w:firstRow="1" w:lastColumn="0" w:lastRow="0" w:noHBand="0" w:noVBand="1" w:val="04A0"/>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De qué se trata este documento</w:t>
            </w:r>
          </w:p>
          <w:p>
            <w:pPr>
              <w:spacing w:after="0" w:line="312" w:lineRule="auto"/>
            </w:pPr>
            <w:r>
              <w:rPr>
                <w:rFonts w:ascii="Segoe UI" w:hAnsi="Segoe UI"/>
                <w:color w:val="5A5A5A"/>
                <w:sz w:val="19"/>
              </w:rPr>
              <w:t>El portafolio dejó de ser solo un sitio con proyectos: es la base de un sistema de documentación que va a sostener también el blog, los cursos y, más adelante, la venta. Acá está el estado real a la fecha, lo que arrojó la investigación y hacia dónde va. La documentación técnica, para retomar el trabajo desde cero o desde otra IA, está en PROYECTO.md, en esta misma carpeta.</w:t>
            </w:r>
          </w:p>
        </w:tc>
      </w:tr>
    </w:tbl>
    <w:p>
      <w:pPr>
        <w:spacing w:before="0" w:after="12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Enlaces</w:t>
      </w:r>
    </w:p>
    <w:tbl>
      <w:tblPr>
        <w:tblW w:type="auto" w:w="0"/>
        <w:tblLayout w:type="fixed"/>
        <w:tblLook w:firstColumn="1" w:firstRow="1" w:lastColumn="0" w:lastRow="0" w:noHBand="0" w:noVBand="1" w:val="04A0"/>
      </w:tblPr>
      <w:tblGrid>
        <w:gridCol w:w="5043"/>
        <w:gridCol w:w="5043"/>
      </w:tblGrid>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Sitio en línea</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hyperlink r:id="rId9">
              <w:r>
                <w:rPr>
                  <w:rFonts w:ascii="Segoe UI" w:hAnsi="Segoe UI"/>
                  <w:color w:val="1F4E5F"/>
                  <w:u w:val="single"/>
                  <w:sz w:val="20"/>
                </w:rPr>
                <w:t>https://fewiyo.github.io/japortafolio-2.0/</w:t>
              </w:r>
            </w:hyperlink>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Repositorio</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hyperlink r:id="rId10">
              <w:r>
                <w:rPr>
                  <w:rFonts w:ascii="Segoe UI" w:hAnsi="Segoe UI"/>
                  <w:color w:val="1F4E5F"/>
                  <w:u w:val="single"/>
                  <w:sz w:val="20"/>
                </w:rPr>
                <w:t>https://github.com/Fewiyo/japortafolio-2.0</w:t>
              </w:r>
            </w:hyperlink>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Dominio futuro</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japortafolio.com — comprado, con hosting en Hostinger, todavía sin migrar</w:t>
            </w:r>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En el disco</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C:\Users\vicen\Documents\Ia\portafolio</w:t>
            </w:r>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Pendientes vivos</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FALTANTES.md, en la raíz del proyecto</w:t>
            </w:r>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Documentación técnica</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documentacion/PROYECTO.md</w:t>
            </w:r>
          </w:p>
        </w:tc>
      </w:tr>
    </w:tbl>
    <w:p>
      <w:pPr>
        <w:spacing w:before="0" w:after="8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Estado actual</w:t>
      </w:r>
    </w:p>
    <w:p>
      <w:pPr>
        <w:spacing w:before="0" w:after="160"/>
      </w:pPr>
      <w:r>
        <w:rPr>
          <w:rFonts w:ascii="Segoe UI" w:hAnsi="Segoe UI"/>
          <w:b w:val="0"/>
          <w:i w:val="0"/>
          <w:caps w:val="0"/>
          <w:color w:val="5A5A5A"/>
          <w:sz w:val="20"/>
        </w:rPr>
        <w:t>El catálogo tiene 22 entradas visibles. Dos fichas están escondidas a propósito porque todavía no tienen imágenes propias.</w:t>
      </w:r>
    </w:p>
    <w:tbl>
      <w:tblPr>
        <w:tblW w:type="auto" w:w="0"/>
        <w:jc w:val="left"/>
        <w:tblLayout w:type="fixed"/>
        <w:tblLook w:firstColumn="1" w:firstRow="1" w:lastColumn="0" w:lastRow="0" w:noHBand="0" w:noVBand="1" w:val="04A0"/>
      </w:tblPr>
      <w:tblGrid>
        <w:gridCol w:w="3362"/>
        <w:gridCol w:w="3362"/>
        <w:gridCol w:w="3362"/>
      </w:tblGrid>
      <w:tr>
        <w:tc>
          <w:tcPr>
            <w:tcW w:type="dxa" w:w="2438"/>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Contenido</w:t>
            </w:r>
          </w:p>
        </w:tc>
        <w:tc>
          <w:tcPr>
            <w:tcW w:type="dxa" w:w="1361"/>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Cantidad</w:t>
            </w:r>
          </w:p>
        </w:tc>
        <w:tc>
          <w:tcPr>
            <w:tcW w:type="dxa" w:w="5953"/>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Detalle</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Proyectos</w:t>
            </w:r>
          </w:p>
        </w:tc>
        <w:tc>
          <w:tcPr>
            <w:tcW w:type="dxa" w:w="1361"/>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7</w:t>
            </w:r>
          </w:p>
        </w:tc>
        <w:tc>
          <w:tcPr>
            <w:tcW w:type="dxa" w:w="5953"/>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HAALUR, Sala Maker STEAM, Plan Nacional RAM, Congreso Futuro, Bicho-bot, AnsioSOS, Eloísa</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Cursos PENTA UC</w:t>
            </w:r>
          </w:p>
        </w:tc>
        <w:tc>
          <w:tcPr>
            <w:tcW w:type="dxa" w:w="1361"/>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7</w:t>
            </w:r>
          </w:p>
        </w:tc>
        <w:tc>
          <w:tcPr>
            <w:tcW w:type="dxa" w:w="5953"/>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Todos de creación propia: propuesta, programa, metodología y material</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Apps y plataformas</w:t>
            </w:r>
          </w:p>
        </w:tc>
        <w:tc>
          <w:tcPr>
            <w:tcW w:type="dxa" w:w="1361"/>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8 de 10</w:t>
            </w:r>
          </w:p>
        </w:tc>
        <w:tc>
          <w:tcPr>
            <w:tcW w:type="dxa" w:w="5953"/>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Hechas con Codex. SKU y Proyecto IoT 01 escondidas hasta tener capturas</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Trayectoria</w:t>
            </w:r>
          </w:p>
        </w:tc>
        <w:tc>
          <w:tcPr>
            <w:tcW w:type="dxa" w:w="1361"/>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12 líneas</w:t>
            </w:r>
          </w:p>
        </w:tc>
        <w:tc>
          <w:tcPr>
            <w:tcW w:type="dxa" w:w="5953"/>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Actualizada con el CV 2025</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Servicios</w:t>
            </w:r>
          </w:p>
        </w:tc>
        <w:tc>
          <w:tcPr>
            <w:tcW w:type="dxa" w:w="1361"/>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4</w:t>
            </w:r>
          </w:p>
        </w:tc>
        <w:tc>
          <w:tcPr>
            <w:tcW w:type="dxa" w:w="5953"/>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Faltan los que Vicente va a definir</w:t>
            </w:r>
          </w:p>
        </w:tc>
      </w:tr>
    </w:tbl>
    <w:p>
      <w:pPr>
        <w:spacing w:before="0" w:after="80"/>
      </w:pPr>
      <w:r>
        <w:rPr>
          <w:rFonts w:ascii="Segoe UI" w:hAnsi="Segoe UI"/>
          <w:b w:val="0"/>
          <w:i w:val="0"/>
          <w:caps w:val="0"/>
          <w:color w:val="111111"/>
          <w:sz w:val="20"/>
        </w:rPr>
      </w:r>
    </w:p>
    <w:p>
      <w:pPr>
        <w:spacing w:before="200" w:after="40"/>
      </w:pPr>
      <w:r>
        <w:rPr>
          <w:rFonts w:ascii="Segoe UI" w:hAnsi="Segoe UI"/>
          <w:b/>
          <w:i w:val="0"/>
          <w:caps/>
          <w:color w:val="5A5A5A"/>
          <w:sz w:val="15"/>
          <w:spacing w:val="40"/>
        </w:rPr>
        <w:t>Lo que se resolvió el 20 de septiembre</w:t>
      </w:r>
    </w:p>
    <w:p>
      <w:pPr>
        <w:spacing w:after="70"/>
        <w:ind w:left="351" w:hanging="215"/>
      </w:pPr>
      <w:r>
        <w:rPr>
          <w:rFonts w:ascii="Segoe UI" w:hAnsi="Segoe UI"/>
          <w:color w:val="1F4E5F"/>
          <w:sz w:val="20"/>
        </w:rPr>
        <w:t xml:space="preserve">—  </w:t>
      </w:r>
      <w:r>
        <w:rPr>
          <w:rFonts w:ascii="Segoe UI" w:hAnsi="Segoe UI"/>
          <w:b/>
          <w:color w:val="111111"/>
          <w:sz w:val="20"/>
        </w:rPr>
        <w:t xml:space="preserve">El problema de fondo: </w:t>
      </w:r>
      <w:r>
        <w:rPr>
          <w:rFonts w:ascii="Segoe UI" w:hAnsi="Segoe UI"/>
          <w:color w:val="111111"/>
          <w:sz w:val="20"/>
        </w:rPr>
        <w:t>cada página entregaba cero caracteres de texto a quien no ejecuta JavaScript. Hoy entrega entre 2.700 y 4.000.</w:t>
      </w:r>
    </w:p>
    <w:p>
      <w:pPr>
        <w:spacing w:after="70"/>
        <w:ind w:left="351" w:hanging="215"/>
      </w:pPr>
      <w:r>
        <w:rPr>
          <w:rFonts w:ascii="Segoe UI" w:hAnsi="Segoe UI"/>
          <w:color w:val="1F4E5F"/>
          <w:sz w:val="20"/>
        </w:rPr>
        <w:t xml:space="preserve">—  </w:t>
      </w:r>
      <w:r>
        <w:rPr>
          <w:rFonts w:ascii="Segoe UI" w:hAnsi="Segoe UI"/>
          <w:color w:val="111111"/>
          <w:sz w:val="20"/>
        </w:rPr>
        <w:t>26 páginas con dirección propia, sitemap, robots.txt y datos estructurados por tipo de contenido.</w:t>
      </w:r>
    </w:p>
    <w:p>
      <w:pPr>
        <w:spacing w:after="70"/>
        <w:ind w:left="351" w:hanging="215"/>
      </w:pPr>
      <w:r>
        <w:rPr>
          <w:rFonts w:ascii="Segoe UI" w:hAnsi="Segoe UI"/>
          <w:color w:val="1F4E5F"/>
          <w:sz w:val="20"/>
        </w:rPr>
        <w:t xml:space="preserve">—  </w:t>
      </w:r>
      <w:r>
        <w:rPr>
          <w:rFonts w:ascii="Segoe UI" w:hAnsi="Segoe UI"/>
          <w:color w:val="111111"/>
          <w:sz w:val="20"/>
        </w:rPr>
        <w:t>la marca Jã en la barra y el favicon, tipografía Libre Franklin, y el CV en PDF sin datos personales.</w:t>
      </w:r>
    </w:p>
    <w:p>
      <w:r>
        <w:br w:type="page"/>
      </w:r>
    </w:p>
    <w:p>
      <w:pPr>
        <w:spacing w:before="400" w:after="60"/>
        <w:pBdr>
          <w:bottom w:val="single" w:sz="12" w:space="6" w:color="1F4E5F"/>
        </w:pBdr>
      </w:pPr>
      <w:r>
        <w:rPr>
          <w:rFonts w:ascii="Segoe UI" w:hAnsi="Segoe UI"/>
          <w:b/>
          <w:i w:val="0"/>
          <w:caps w:val="0"/>
          <w:color w:val="111111"/>
          <w:sz w:val="30"/>
        </w:rPr>
        <w:t>Hallazgos de la investigación</w:t>
      </w:r>
    </w:p>
    <w:p>
      <w:pPr>
        <w:spacing w:before="0" w:after="160"/>
      </w:pPr>
      <w:r>
        <w:rPr>
          <w:rFonts w:ascii="Segoe UI" w:hAnsi="Segoe UI"/>
          <w:b w:val="0"/>
          <w:i w:val="0"/>
          <w:caps w:val="0"/>
          <w:color w:val="5A5A5A"/>
          <w:sz w:val="20"/>
        </w:rPr>
        <w:t>Lo que sigue cambió el plan. Está ordenado por cuánto lo cambió.</w:t>
      </w:r>
    </w:p>
    <w:p>
      <w:pPr>
        <w:spacing w:before="260" w:after="80"/>
      </w:pPr>
      <w:r>
        <w:rPr>
          <w:rFonts w:ascii="Segoe UI" w:hAnsi="Segoe UI"/>
          <w:b/>
          <w:i w:val="0"/>
          <w:caps w:val="0"/>
          <w:color w:val="1F4E5F"/>
          <w:sz w:val="23"/>
        </w:rPr>
        <w:t>1. El sitio era invisible para la IA</w:t>
      </w:r>
    </w:p>
    <w:p>
      <w:pPr>
        <w:spacing w:before="0" w:after="120"/>
      </w:pPr>
      <w:r>
        <w:rPr>
          <w:rFonts w:ascii="Segoe UI" w:hAnsi="Segoe UI"/>
          <w:b w:val="0"/>
          <w:i w:val="0"/>
          <w:caps w:val="0"/>
          <w:color w:val="111111"/>
          <w:sz w:val="20"/>
        </w:rPr>
        <w:t>Vercel analizó más de 500 millones de peticiones de GPTBot y no encontró una sola ejecución de JavaScript. ClaudeBot y PerplexityBot tampoco renderizan: piden el HTML crudo, leen lo que hay y se van sin reintentar. Se estima que el contenido dibujado en el navegador es invisible para cerca del 70% de los rastreadores de IA. La excepción es Gemini.</w:t>
      </w:r>
    </w:p>
    <w:p>
      <w:pPr>
        <w:spacing w:before="0" w:after="120"/>
      </w:pPr>
      <w:r>
        <w:rPr>
          <w:rFonts w:ascii="Segoe UI" w:hAnsi="Segoe UI"/>
          <w:b/>
          <w:i w:val="0"/>
          <w:caps w:val="0"/>
          <w:color w:val="111111"/>
          <w:sz w:val="20"/>
        </w:rPr>
        <w:t>El portafolio no estaba mal posicionado en Claude o ChatGPT: no existía. Cero caracteres. Esa es la razón por la que la Fase A era urgente y no una mejora cosmética.</w:t>
      </w:r>
    </w:p>
    <w:p>
      <w:pPr>
        <w:spacing w:before="260" w:after="80"/>
      </w:pPr>
      <w:r>
        <w:rPr>
          <w:rFonts w:ascii="Segoe UI" w:hAnsi="Segoe UI"/>
          <w:b/>
          <w:i w:val="0"/>
          <w:caps w:val="0"/>
          <w:color w:val="1F4E5F"/>
          <w:sz w:val="23"/>
        </w:rPr>
        <w:t>2. El SEO clásico ya no es la pelea</w:t>
      </w:r>
    </w:p>
    <w:tbl>
      <w:tblPr>
        <w:tblW w:type="auto" w:w="0"/>
        <w:jc w:val="left"/>
        <w:tblLayout w:type="fixed"/>
        <w:tblLook w:firstColumn="1" w:firstRow="1" w:lastColumn="0" w:lastRow="0" w:noHBand="0" w:noVBand="1" w:val="04A0"/>
      </w:tblPr>
      <w:tblGrid>
        <w:gridCol w:w="5043"/>
        <w:gridCol w:w="5043"/>
      </w:tblGrid>
      <w:tr>
        <w:tc>
          <w:tcPr>
            <w:tcW w:type="dxa" w:w="6236"/>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Dato</w:t>
            </w:r>
          </w:p>
        </w:tc>
        <w:tc>
          <w:tcPr>
            <w:tcW w:type="dxa" w:w="3515"/>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Cifra</w:t>
            </w:r>
          </w:p>
        </w:tc>
      </w:tr>
      <w:tr>
        <w:tc>
          <w:tcPr>
            <w:tcW w:type="dxa" w:w="6236"/>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Búsquedas con respuesta de IA arriba</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~30%</w:t>
            </w:r>
          </w:p>
        </w:tc>
      </w:tr>
      <w:tr>
        <w:tc>
          <w:tcPr>
            <w:tcW w:type="dxa" w:w="6236"/>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Caída de clics cuando aparece esa respuesta</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−35%</w:t>
            </w:r>
          </w:p>
        </w:tc>
      </w:tr>
      <w:tr>
        <w:tc>
          <w:tcPr>
            <w:tcW w:type="dxa" w:w="6236"/>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Caída en búsquedas informativas</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−61%</w:t>
            </w:r>
          </w:p>
        </w:tc>
      </w:tr>
      <w:tr>
        <w:tc>
          <w:tcPr>
            <w:tcW w:type="dxa" w:w="6236"/>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Tráfico que Google manda a publicadores, interanual</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−38%</w:t>
            </w:r>
          </w:p>
        </w:tc>
      </w:tr>
      <w:tr>
        <w:tc>
          <w:tcPr>
            <w:tcW w:type="dxa" w:w="6236"/>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Coincidencia entre el top 10 de Google y lo que cita la IA</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cayó de ~70% a menos de 20%</w:t>
            </w:r>
          </w:p>
        </w:tc>
      </w:tr>
      <w:tr>
        <w:tc>
          <w:tcPr>
            <w:tcW w:type="dxa" w:w="6236"/>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Conversión del tráfico que llega desde una IA</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4,4 veces mejor</w:t>
            </w:r>
          </w:p>
        </w:tc>
      </w:tr>
      <w:tr>
        <w:tc>
          <w:tcPr>
            <w:tcW w:type="dxa" w:w="6236"/>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Ganancia por citar fuentes dentro del texto</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+115% de visibilidad</w:t>
            </w:r>
          </w:p>
        </w:tc>
      </w:tr>
    </w:tbl>
    <w:p>
      <w:pPr>
        <w:spacing w:before="0" w:after="80"/>
      </w:pPr>
      <w:r>
        <w:rPr>
          <w:rFonts w:ascii="Segoe UI" w:hAnsi="Segoe UI"/>
          <w:b w:val="0"/>
          <w:i w:val="0"/>
          <w:caps w:val="0"/>
          <w:color w:val="111111"/>
          <w:sz w:val="20"/>
        </w:rPr>
      </w:r>
    </w:p>
    <w:p>
      <w:pPr>
        <w:spacing w:before="80" w:after="120"/>
      </w:pPr>
      <w:r>
        <w:rPr>
          <w:rFonts w:ascii="Segoe UI" w:hAnsi="Segoe UI"/>
          <w:b w:val="0"/>
          <w:i w:val="0"/>
          <w:caps w:val="0"/>
          <w:color w:val="111111"/>
          <w:sz w:val="20"/>
        </w:rPr>
        <w:t>El contenido informativo genérico es la categoría más golpeada, porque la IA lo responde sin que nadie entre al sitio. Lo que resiste son las páginas que son fuente primaria. Los 24 proyectos documentados de primera mano son exactamente eso.</w:t>
      </w:r>
    </w:p>
    <w:p>
      <w:pPr>
        <w:spacing w:before="260" w:after="80"/>
      </w:pPr>
      <w:r>
        <w:rPr>
          <w:rFonts w:ascii="Segoe UI" w:hAnsi="Segoe UI"/>
          <w:b/>
          <w:i w:val="0"/>
          <w:caps w:val="0"/>
          <w:color w:val="1F4E5F"/>
          <w:sz w:val="23"/>
        </w:rPr>
        <w:t>3. Pero la documentación técnica sigue viva</w:t>
      </w:r>
    </w:p>
    <w:p>
      <w:pPr>
        <w:spacing w:before="0" w:after="120"/>
      </w:pPr>
      <w:r>
        <w:rPr>
          <w:rFonts w:ascii="Segoe UI" w:hAnsi="Segoe UI"/>
          <w:b w:val="0"/>
          <w:i w:val="0"/>
          <w:caps w:val="0"/>
          <w:color w:val="111111"/>
          <w:sz w:val="20"/>
        </w:rPr>
        <w:t>SparkFun Learn, un sitio de documentación maker con más de un millón de visitas al mes, recibe el 57,86% de su tráfico de escritorio desde búsqueda orgánica. No todo se hundió: se hundió lo genérico, no el material de referencia.</w:t>
      </w:r>
    </w:p>
    <w:p>
      <w:pPr>
        <w:spacing w:before="260" w:after="80"/>
      </w:pPr>
      <w:r>
        <w:rPr>
          <w:rFonts w:ascii="Segoe UI" w:hAnsi="Segoe UI"/>
          <w:b/>
          <w:i w:val="0"/>
          <w:caps w:val="0"/>
          <w:color w:val="1F4E5F"/>
          <w:sz w:val="23"/>
        </w:rPr>
        <w:t>4. Documentar el proceso rinde menos de lo que parece</w:t>
      </w:r>
    </w:p>
    <w:p>
      <w:pPr>
        <w:spacing w:before="0" w:after="120"/>
      </w:pPr>
      <w:r>
        <w:rPr>
          <w:rFonts w:ascii="Segoe UI" w:hAnsi="Segoe UI"/>
          <w:b w:val="0"/>
          <w:i w:val="0"/>
          <w:caps w:val="0"/>
          <w:color w:val="111111"/>
          <w:sz w:val="20"/>
        </w:rPr>
        <w:t>Andy Bell midió su iniciativa de trabajar en abierto y quedó bajo el 4% del total de lecturas. La gente no viene por el proceso, viene por lo que se le enseña. De ahí la decisión de separar: el proceso se documenta con poca exigencia de pulido, y lo que se promociona es el material terminado.</w:t>
      </w:r>
    </w:p>
    <w:p>
      <w:pPr>
        <w:spacing w:before="260" w:after="80"/>
      </w:pPr>
      <w:r>
        <w:rPr>
          <w:rFonts w:ascii="Segoe UI" w:hAnsi="Segoe UI"/>
          <w:b/>
          <w:i w:val="0"/>
          <w:caps w:val="0"/>
          <w:color w:val="1F4E5F"/>
          <w:sz w:val="23"/>
        </w:rPr>
        <w:t>5. Quién paga en Chile, y con qué requisito</w:t>
      </w:r>
    </w:p>
    <w:p>
      <w:pPr>
        <w:spacing w:before="0" w:after="120"/>
      </w:pPr>
      <w:r>
        <w:rPr>
          <w:rFonts w:ascii="Segoe UI" w:hAnsi="Segoe UI"/>
          <w:b w:val="0"/>
          <w:i w:val="0"/>
          <w:caps w:val="0"/>
          <w:color w:val="111111"/>
          <w:sz w:val="20"/>
        </w:rPr>
        <w:t>Los colegios subvencionados destinan en promedio un 9% de los fondos SEP a asesoría y capacitación. Pero el sostenedor está obligado a contratar a una ATE registrada en el Mineduc, y el gasto debe ir amarrado al Plan de Mejoramiento Educativo.</w:t>
      </w:r>
    </w:p>
    <w:p>
      <w:pPr>
        <w:spacing w:before="0" w:after="120"/>
      </w:pPr>
      <w:r>
        <w:rPr>
          <w:rFonts w:ascii="Segoe UI" w:hAnsi="Segoe UI"/>
          <w:b/>
          <w:i w:val="0"/>
          <w:caps w:val="0"/>
          <w:color w:val="111111"/>
          <w:sz w:val="20"/>
        </w:rPr>
        <w:t>Para inscribirse como persona natural se exige magíster o doctorado, más tres años asesorando establecimientos. La experiencia ya está. El grado es la llave, y Vicente está estudiando uno.</w:t>
      </w:r>
    </w:p>
    <w:p>
      <w:pPr>
        <w:spacing w:before="0" w:after="120"/>
      </w:pPr>
      <w:r>
        <w:rPr>
          <w:rFonts w:ascii="Segoe UI" w:hAnsi="Segoe UI"/>
          <w:b w:val="0"/>
          <w:i w:val="0"/>
          <w:caps w:val="0"/>
          <w:color w:val="5A5A5A"/>
          <w:sz w:val="20"/>
        </w:rPr>
        <w:t>La otra puerta es como persona jurídica, con empresa o fundación. Que es lo que venía ocurriendo a través de Ideo Maker: ellos ponían la figura, él ponía el trabajo.</w:t>
      </w:r>
    </w:p>
    <w:p>
      <w:pPr>
        <w:spacing w:before="260" w:after="80"/>
      </w:pPr>
      <w:r>
        <w:rPr>
          <w:rFonts w:ascii="Segoe UI" w:hAnsi="Segoe UI"/>
          <w:b/>
          <w:i w:val="0"/>
          <w:caps w:val="0"/>
          <w:color w:val="1F4E5F"/>
          <w:sz w:val="23"/>
        </w:rPr>
        <w:t>6. El nicho en español está lleno de vendedores, no de documentadores</w:t>
      </w:r>
    </w:p>
    <w:p>
      <w:pPr>
        <w:spacing w:before="0" w:after="120"/>
      </w:pPr>
      <w:r>
        <w:rPr>
          <w:rFonts w:ascii="Segoe UI" w:hAnsi="Segoe UI"/>
          <w:b w:val="0"/>
          <w:i w:val="0"/>
          <w:caps w:val="0"/>
          <w:color w:val="111111"/>
          <w:sz w:val="20"/>
        </w:rPr>
        <w:t>Zambeca, Tecnologías Educativas, Robotix, Aprender-STEAM: todos venden kits y métodos llave en mano. Ninguno publica qué pasó de verdad cuando se instaló la sala, qué falló y qué quedó funcionando tres años después. Ese lugar está vacío.</w:t>
      </w:r>
    </w:p>
    <w:p>
      <w:pPr>
        <w:spacing w:before="0" w:after="120"/>
      </w:pPr>
      <w:r>
        <w:rPr>
          <w:rFonts w:ascii="Segoe UI" w:hAnsi="Segoe UI"/>
          <w:b w:val="0"/>
          <w:i w:val="0"/>
          <w:caps w:val="0"/>
          <w:color w:val="111111"/>
          <w:sz w:val="20"/>
        </w:rPr>
        <w:t>Y aparece un cliente que no estaba en el plan: esas mismas empresas. Venden hardware y necesitan a alguien que lo convierta en algo que un profesor pueda usar.</w:t>
      </w:r>
    </w:p>
    <w:p>
      <w:r>
        <w:br w:type="page"/>
      </w:r>
    </w:p>
    <w:p>
      <w:pPr>
        <w:spacing w:before="400" w:after="60"/>
        <w:pBdr>
          <w:bottom w:val="single" w:sz="12" w:space="6" w:color="1F4E5F"/>
        </w:pBdr>
      </w:pPr>
      <w:r>
        <w:rPr>
          <w:rFonts w:ascii="Segoe UI" w:hAnsi="Segoe UI"/>
          <w:b/>
          <w:i w:val="0"/>
          <w:caps w:val="0"/>
          <w:color w:val="111111"/>
          <w:sz w:val="30"/>
        </w:rPr>
        <w:t>Referentes</w:t>
      </w:r>
    </w:p>
    <w:p>
      <w:pPr>
        <w:spacing w:before="0" w:after="160"/>
      </w:pPr>
      <w:r>
        <w:rPr>
          <w:rFonts w:ascii="Segoe UI" w:hAnsi="Segoe UI"/>
          <w:b w:val="0"/>
          <w:i w:val="0"/>
          <w:caps w:val="0"/>
          <w:color w:val="5A5A5A"/>
          <w:sz w:val="20"/>
        </w:rPr>
        <w:t>Elegidos con señales verificables, no con estimaciones de tráfico.</w:t>
      </w:r>
    </w:p>
    <w:tbl>
      <w:tblPr>
        <w:tblW w:type="auto" w:w="0"/>
        <w:jc w:val="left"/>
        <w:tblLayout w:type="fixed"/>
        <w:tblLook w:firstColumn="1" w:firstRow="1" w:lastColumn="0" w:lastRow="0" w:noHBand="0" w:noVBand="1" w:val="04A0"/>
      </w:tblPr>
      <w:tblGrid>
        <w:gridCol w:w="3362"/>
        <w:gridCol w:w="3362"/>
        <w:gridCol w:w="3362"/>
      </w:tblGrid>
      <w:tr>
        <w:tc>
          <w:tcPr>
            <w:tcW w:type="dxa" w:w="2438"/>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Referente</w:t>
            </w:r>
          </w:p>
        </w:tc>
        <w:tc>
          <w:tcPr>
            <w:tcW w:type="dxa" w:w="2778"/>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Señal</w:t>
            </w:r>
          </w:p>
        </w:tc>
        <w:tc>
          <w:tcPr>
            <w:tcW w:type="dxa" w:w="4535"/>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Qué enseña</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Instructables</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~100,4 M visitas/mes</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La documentación por comunidad a escala</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Adafruit Learn</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~1,6 M visitas/mes</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Regalar la documentación para vender el componente</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SparkFun Learn</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~1,1 M, 57,86% orgánico</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La búsqueda sigue funcionando en documentación técnica</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Domestika</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8 M de creativos</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El mercado hispanohablante existe y es grande</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Tinkering Studio</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Red internacional, Coursera</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Documentar prototipos a medio hacer, no resultados</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Bartosz Ciechanowski</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#8 histórico en HN, 544 patrons</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Calidad extrema, poca frecuencia, sin publicidad</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Maggie Appleton</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6 tipos, 3 estados de madurez</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El modelo de jardín en lugar del blog</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Josh Comeau</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Prevendió su curso en USD 550 mil</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Validar vendiendo antes de construir</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Piccalilli</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Techo de £249, lectura gratis</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Nunca poner muro de pago a la lectura</w:t>
            </w:r>
          </w:p>
        </w:tc>
      </w:tr>
      <w:tr>
        <w:tc>
          <w:tcPr>
            <w:tcW w:type="dxa" w:w="243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Teachers Pay Teachers</w:t>
            </w:r>
          </w:p>
        </w:tc>
        <w:tc>
          <w:tcPr>
            <w:tcW w:type="dxa" w:w="2778"/>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De USD 10, el autor recibe 5,20</w:t>
            </w:r>
          </w:p>
        </w:tc>
        <w:tc>
          <w:tcPr>
            <w:tcW w:type="dxa" w:w="453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El marketplace cobra caro el descubrimiento</w:t>
            </w:r>
          </w:p>
        </w:tc>
      </w:tr>
    </w:tbl>
    <w:p>
      <w:pPr>
        <w:spacing w:before="0" w:after="80"/>
      </w:pPr>
      <w:r>
        <w:rPr>
          <w:rFonts w:ascii="Segoe UI" w:hAnsi="Segoe UI"/>
          <w:b w:val="0"/>
          <w:i w:val="0"/>
          <w:caps w:val="0"/>
          <w:color w:val="111111"/>
          <w:sz w:val="20"/>
        </w:rPr>
      </w:r>
    </w:p>
    <w:tbl>
      <w:tblPr>
        <w:tblW w:type="auto" w:w="0"/>
        <w:tblLayout w:type="fixed"/>
        <w:tblLook w:firstColumn="1" w:firstRow="1" w:lastColumn="0" w:lastRow="0" w:noHBand="0" w:noVBand="1" w:val="04A0"/>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El patrón que comparten todos</w:t>
            </w:r>
          </w:p>
          <w:p>
            <w:pPr>
              <w:spacing w:after="0" w:line="312" w:lineRule="auto"/>
            </w:pPr>
            <w:r>
              <w:rPr>
                <w:rFonts w:ascii="Segoe UI" w:hAnsi="Segoe UI"/>
                <w:color w:val="5A5A5A"/>
                <w:sz w:val="19"/>
              </w:rPr>
              <w:t>Ninguno vende el contenido. Adafruit y SparkFun venden componentes y regalan la documentación; el Exploratorium es un museo; Instructables es comunidad. La documentación no es el producto: es lo que hace que exista el producto.</w:t>
            </w:r>
          </w:p>
        </w:tc>
      </w:tr>
    </w:tbl>
    <w:p>
      <w:pPr>
        <w:spacing w:before="0" w:after="12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El plan</w:t>
      </w:r>
    </w:p>
    <w:tbl>
      <w:tblPr>
        <w:tblW w:type="auto" w:w="0"/>
        <w:jc w:val="left"/>
        <w:tblLayout w:type="fixed"/>
        <w:tblLook w:firstColumn="1" w:firstRow="1" w:lastColumn="0" w:lastRow="0" w:noHBand="0" w:noVBand="1" w:val="04A0"/>
      </w:tblPr>
      <w:tblGrid>
        <w:gridCol w:w="3362"/>
        <w:gridCol w:w="3362"/>
        <w:gridCol w:w="3362"/>
      </w:tblGrid>
      <w:tr>
        <w:tc>
          <w:tcPr>
            <w:tcW w:type="dxa" w:w="907"/>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Fase</w:t>
            </w:r>
          </w:p>
        </w:tc>
        <w:tc>
          <w:tcPr>
            <w:tcW w:type="dxa" w:w="5329"/>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Qué</w:t>
            </w:r>
          </w:p>
        </w:tc>
        <w:tc>
          <w:tcPr>
            <w:tcW w:type="dxa" w:w="3515"/>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Estado</w:t>
            </w:r>
          </w:p>
        </w:tc>
      </w:tr>
      <w:tr>
        <w:tc>
          <w:tcPr>
            <w:tcW w:type="dxa" w:w="907"/>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A</w:t>
            </w:r>
          </w:p>
        </w:tc>
        <w:tc>
          <w:tcPr>
            <w:tcW w:type="dxa" w:w="5329"/>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La regla de documentación y el motor que genera HTML real</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Hecha el 20 de septiembre</w:t>
            </w:r>
          </w:p>
        </w:tc>
      </w:tr>
      <w:tr>
        <w:tc>
          <w:tcPr>
            <w:tcW w:type="dxa" w:w="907"/>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B</w:t>
            </w:r>
          </w:p>
        </w:tc>
        <w:tc>
          <w:tcPr>
            <w:tcW w:type="dxa" w:w="5329"/>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Contenido de Ideo Maker: tres casos nuevos</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Esperando material y permisos</w:t>
            </w:r>
          </w:p>
        </w:tc>
      </w:tr>
      <w:tr>
        <w:tc>
          <w:tcPr>
            <w:tcW w:type="dxa" w:w="907"/>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C</w:t>
            </w:r>
          </w:p>
        </w:tc>
        <w:tc>
          <w:tcPr>
            <w:tcW w:type="dxa" w:w="5329"/>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Migrar a japortafolio.com y afinar el SEO</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Por hacer. Se cambia una línea en construir.py</w:t>
            </w:r>
          </w:p>
        </w:tc>
      </w:tr>
      <w:tr>
        <w:tc>
          <w:tcPr>
            <w:tcW w:type="dxa" w:w="907"/>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D</w:t>
            </w:r>
          </w:p>
        </w:tc>
        <w:tc>
          <w:tcPr>
            <w:tcW w:type="dxa" w:w="5329"/>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Jardín de apuntes, con tipos y estados de madurez</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Por hacer</w:t>
            </w:r>
          </w:p>
        </w:tc>
      </w:tr>
      <w:tr>
        <w:tc>
          <w:tcPr>
            <w:tcW w:type="dxa" w:w="907"/>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E</w:t>
            </w:r>
          </w:p>
        </w:tc>
        <w:tc>
          <w:tcPr>
            <w:tcW w:type="dxa" w:w="5329"/>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Cursos documentados: la página escrita primero, el video después</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Por hacer</w:t>
            </w:r>
          </w:p>
        </w:tc>
      </w:tr>
      <w:tr>
        <w:tc>
          <w:tcPr>
            <w:tcW w:type="dxa" w:w="907"/>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F</w:t>
            </w:r>
          </w:p>
        </w:tc>
        <w:tc>
          <w:tcPr>
            <w:tcW w:type="dxa" w:w="5329"/>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Vender, sin construir plataforma</w:t>
            </w:r>
          </w:p>
        </w:tc>
        <w:tc>
          <w:tcPr>
            <w:tcW w:type="dxa" w:w="3515"/>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No antes de tener material</w:t>
            </w:r>
          </w:p>
        </w:tc>
      </w:tr>
    </w:tbl>
    <w:p>
      <w:pPr>
        <w:spacing w:before="0" w:after="80"/>
      </w:pPr>
      <w:r>
        <w:rPr>
          <w:rFonts w:ascii="Segoe UI" w:hAnsi="Segoe UI"/>
          <w:b w:val="0"/>
          <w:i w:val="0"/>
          <w:caps w:val="0"/>
          <w:color w:val="111111"/>
          <w:sz w:val="20"/>
        </w:rPr>
      </w:r>
    </w:p>
    <w:tbl>
      <w:tblPr>
        <w:tblW w:type="auto" w:w="0"/>
        <w:tblLayout w:type="fixed"/>
        <w:tblLook w:firstColumn="1" w:firstRow="1" w:lastColumn="0" w:lastRow="0" w:noHBand="0" w:noVBand="1" w:val="04A0"/>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La decisión que ordena todo lo demás</w:t>
            </w:r>
          </w:p>
          <w:p>
            <w:pPr>
              <w:spacing w:after="0" w:line="312" w:lineRule="auto"/>
            </w:pPr>
            <w:r>
              <w:rPr>
                <w:rFonts w:ascii="Segoe UI" w:hAnsi="Segoe UI"/>
                <w:color w:val="5A5A5A"/>
                <w:sz w:val="19"/>
              </w:rPr>
              <w:t>El destino comercial es institucional, no de consumo. Toda la trayectoria de Vicente es B2B: colegios, municipalidades, programas públicos. El portafolio no tiene que convertir un pago con tarjeta: tiene que ganar una conversación con un sostenedor o con una empresa del rubro.</w:t>
            </w:r>
          </w:p>
        </w:tc>
      </w:tr>
    </w:tbl>
    <w:p>
      <w:pPr>
        <w:spacing w:before="0" w:after="12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Objetivos a corto plazo</w:t>
      </w:r>
    </w:p>
    <w:p>
      <w:pPr>
        <w:spacing w:before="0" w:after="120"/>
      </w:pPr>
      <w:r>
        <w:rPr>
          <w:rFonts w:ascii="Segoe UI" w:hAnsi="Segoe UI"/>
          <w:b w:val="0"/>
          <w:i w:val="0"/>
          <w:caps w:val="0"/>
          <w:color w:val="5A5A5A"/>
          <w:sz w:val="20"/>
        </w:rPr>
        <w:t>Los próximos tres meses.</w:t>
      </w:r>
    </w:p>
    <w:p>
      <w:pPr>
        <w:spacing w:after="70"/>
        <w:ind w:left="351" w:hanging="215"/>
      </w:pPr>
      <w:r>
        <w:rPr>
          <w:rFonts w:ascii="Segoe UI" w:hAnsi="Segoe UI"/>
          <w:color w:val="1F4E5F"/>
          <w:sz w:val="20"/>
        </w:rPr>
        <w:t xml:space="preserve">—  </w:t>
      </w:r>
      <w:r>
        <w:rPr>
          <w:rFonts w:ascii="Segoe UI" w:hAnsi="Segoe UI"/>
          <w:b/>
          <w:color w:val="111111"/>
          <w:sz w:val="20"/>
        </w:rPr>
        <w:t xml:space="preserve">Medir: </w:t>
      </w:r>
      <w:r>
        <w:rPr>
          <w:rFonts w:ascii="Segoe UI" w:hAnsi="Segoe UI"/>
          <w:color w:val="111111"/>
          <w:sz w:val="20"/>
        </w:rPr>
        <w:t>instalar analítica respetuosa de la privacidad y tomar la línea base de citación por IA, preguntándole hoy a Claude, ChatGPT y Perplexity a quién citan.</w:t>
      </w:r>
    </w:p>
    <w:p>
      <w:pPr>
        <w:spacing w:after="70"/>
        <w:ind w:left="351" w:hanging="215"/>
      </w:pPr>
      <w:r>
        <w:rPr>
          <w:rFonts w:ascii="Segoe UI" w:hAnsi="Segoe UI"/>
          <w:color w:val="1F4E5F"/>
          <w:sz w:val="20"/>
        </w:rPr>
        <w:t xml:space="preserve">—  </w:t>
      </w:r>
      <w:r>
        <w:rPr>
          <w:rFonts w:ascii="Segoe UI" w:hAnsi="Segoe UI"/>
          <w:b/>
          <w:color w:val="111111"/>
          <w:sz w:val="20"/>
        </w:rPr>
        <w:t xml:space="preserve">Contenido: </w:t>
      </w:r>
      <w:r>
        <w:rPr>
          <w:rFonts w:ascii="Segoe UI" w:hAnsi="Segoe UI"/>
          <w:color w:val="111111"/>
          <w:sz w:val="20"/>
        </w:rPr>
        <w:t>sumar los tres casos de Ideo Maker, previa confirmación de qué se puede publicar.</w:t>
      </w:r>
    </w:p>
    <w:p>
      <w:pPr>
        <w:spacing w:after="70"/>
        <w:ind w:left="351" w:hanging="215"/>
      </w:pPr>
      <w:r>
        <w:rPr>
          <w:rFonts w:ascii="Segoe UI" w:hAnsi="Segoe UI"/>
          <w:color w:val="1F4E5F"/>
          <w:sz w:val="20"/>
        </w:rPr>
        <w:t xml:space="preserve">—  </w:t>
      </w:r>
      <w:r>
        <w:rPr>
          <w:rFonts w:ascii="Segoe UI" w:hAnsi="Segoe UI"/>
          <w:b/>
          <w:color w:val="111111"/>
          <w:sz w:val="20"/>
        </w:rPr>
        <w:t xml:space="preserve">Dominio: </w:t>
      </w:r>
      <w:r>
        <w:rPr>
          <w:rFonts w:ascii="Segoe UI" w:hAnsi="Segoe UI"/>
          <w:color w:val="111111"/>
          <w:sz w:val="20"/>
        </w:rPr>
        <w:t>mudarse a japortafolio.com para que el dominio propio empiece a acumular historial.</w:t>
      </w:r>
    </w:p>
    <w:p>
      <w:pPr>
        <w:spacing w:after="70"/>
        <w:ind w:left="351" w:hanging="215"/>
      </w:pPr>
      <w:r>
        <w:rPr>
          <w:rFonts w:ascii="Segoe UI" w:hAnsi="Segoe UI"/>
          <w:color w:val="1F4E5F"/>
          <w:sz w:val="20"/>
        </w:rPr>
        <w:t xml:space="preserve">—  </w:t>
      </w:r>
      <w:r>
        <w:rPr>
          <w:rFonts w:ascii="Segoe UI" w:hAnsi="Segoe UI"/>
          <w:color w:val="111111"/>
          <w:sz w:val="20"/>
        </w:rPr>
        <w:t>definir la lista de servicios, que hoy no refleja todo lo que realmente hace.</w:t>
      </w:r>
    </w:p>
    <w:p>
      <w:pPr>
        <w:spacing w:after="70"/>
        <w:ind w:left="351" w:hanging="215"/>
      </w:pPr>
      <w:r>
        <w:rPr>
          <w:rFonts w:ascii="Segoe UI" w:hAnsi="Segoe UI"/>
          <w:color w:val="1F4E5F"/>
          <w:sz w:val="20"/>
        </w:rPr>
        <w:t xml:space="preserve">—  </w:t>
      </w:r>
      <w:r>
        <w:rPr>
          <w:rFonts w:ascii="Segoe UI" w:hAnsi="Segoe UI"/>
          <w:color w:val="111111"/>
          <w:sz w:val="20"/>
        </w:rPr>
        <w:t>subir el portafolio en PDF y reexportar el CV sin los huecos que dejó la redacción.</w:t>
      </w:r>
    </w:p>
    <w:p>
      <w:pPr>
        <w:spacing w:after="70"/>
        <w:ind w:left="351" w:hanging="215"/>
      </w:pPr>
      <w:r>
        <w:rPr>
          <w:rFonts w:ascii="Segoe UI" w:hAnsi="Segoe UI"/>
          <w:color w:val="1F4E5F"/>
          <w:sz w:val="20"/>
        </w:rPr>
        <w:t xml:space="preserve">—  </w:t>
      </w:r>
      <w:r>
        <w:rPr>
          <w:rFonts w:ascii="Segoe UI" w:hAnsi="Segoe UI"/>
          <w:color w:val="111111"/>
          <w:sz w:val="20"/>
        </w:rPr>
        <w:t>cerrar las dos decisiones pendientes: las fotos con menores, y si el blog vive dentro o fuera del sitio.</w:t>
      </w:r>
    </w:p>
    <w:p>
      <w:pPr>
        <w:spacing w:before="400" w:after="60"/>
        <w:pBdr>
          <w:bottom w:val="single" w:sz="12" w:space="6" w:color="1F4E5F"/>
        </w:pBdr>
      </w:pPr>
      <w:r>
        <w:rPr>
          <w:rFonts w:ascii="Segoe UI" w:hAnsi="Segoe UI"/>
          <w:b/>
          <w:i w:val="0"/>
          <w:caps w:val="0"/>
          <w:color w:val="111111"/>
          <w:sz w:val="30"/>
        </w:rPr>
        <w:t>Objetivos a largo plazo</w:t>
      </w:r>
    </w:p>
    <w:p>
      <w:pPr>
        <w:spacing w:before="0" w:after="120"/>
      </w:pPr>
      <w:r>
        <w:rPr>
          <w:rFonts w:ascii="Segoe UI" w:hAnsi="Segoe UI"/>
          <w:b w:val="0"/>
          <w:i w:val="0"/>
          <w:caps w:val="0"/>
          <w:color w:val="5A5A5A"/>
          <w:sz w:val="20"/>
        </w:rPr>
        <w:t>De un año en adelante.</w:t>
      </w:r>
    </w:p>
    <w:p>
      <w:pPr>
        <w:spacing w:after="70"/>
        <w:ind w:left="351" w:hanging="215"/>
      </w:pPr>
      <w:r>
        <w:rPr>
          <w:rFonts w:ascii="Segoe UI" w:hAnsi="Segoe UI"/>
          <w:color w:val="1F4E5F"/>
          <w:sz w:val="20"/>
        </w:rPr>
        <w:t xml:space="preserve">—  </w:t>
      </w:r>
      <w:r>
        <w:rPr>
          <w:rFonts w:ascii="Segoe UI" w:hAnsi="Segoe UI"/>
          <w:b/>
          <w:color w:val="111111"/>
          <w:sz w:val="20"/>
        </w:rPr>
        <w:t xml:space="preserve">Ser la fuente: </w:t>
      </w:r>
      <w:r>
        <w:rPr>
          <w:rFonts w:ascii="Segoe UI" w:hAnsi="Segoe UI"/>
          <w:color w:val="111111"/>
          <w:sz w:val="20"/>
        </w:rPr>
        <w:t>un archivo público de práctica documentada en español, que hoy no existe en este nicho.</w:t>
      </w:r>
    </w:p>
    <w:p>
      <w:pPr>
        <w:spacing w:after="70"/>
        <w:ind w:left="351" w:hanging="215"/>
      </w:pPr>
      <w:r>
        <w:rPr>
          <w:rFonts w:ascii="Segoe UI" w:hAnsi="Segoe UI"/>
          <w:color w:val="1F4E5F"/>
          <w:sz w:val="20"/>
        </w:rPr>
        <w:t xml:space="preserve">—  </w:t>
      </w:r>
      <w:r>
        <w:rPr>
          <w:rFonts w:ascii="Segoe UI" w:hAnsi="Segoe UI"/>
          <w:b/>
          <w:color w:val="111111"/>
          <w:sz w:val="20"/>
        </w:rPr>
        <w:t xml:space="preserve">Cursos: </w:t>
      </w:r>
      <w:r>
        <w:rPr>
          <w:rFonts w:ascii="Segoe UI" w:hAnsi="Segoe UI"/>
          <w:color w:val="111111"/>
          <w:sz w:val="20"/>
        </w:rPr>
        <w:t>cada clase publicada como página escrita antes que como video. El video se hunde en el feed; la página queda y es lo que se cita.</w:t>
      </w:r>
    </w:p>
    <w:p>
      <w:pPr>
        <w:spacing w:after="70"/>
        <w:ind w:left="351" w:hanging="215"/>
      </w:pPr>
      <w:r>
        <w:rPr>
          <w:rFonts w:ascii="Segoe UI" w:hAnsi="Segoe UI"/>
          <w:color w:val="1F4E5F"/>
          <w:sz w:val="20"/>
        </w:rPr>
        <w:t xml:space="preserve">—  </w:t>
      </w:r>
      <w:r>
        <w:rPr>
          <w:rFonts w:ascii="Segoe UI" w:hAnsi="Segoe UI"/>
          <w:b/>
          <w:color w:val="111111"/>
          <w:sz w:val="20"/>
        </w:rPr>
        <w:t xml:space="preserve">Habilitación: </w:t>
      </w:r>
      <w:r>
        <w:rPr>
          <w:rFonts w:ascii="Segoe UI" w:hAnsi="Segoe UI"/>
          <w:color w:val="111111"/>
          <w:sz w:val="20"/>
        </w:rPr>
        <w:t>completar el magíster y quedar inscrito como ATE en el Mineduc, que es lo que habilita vender directo a colegios con fondos públicos.</w:t>
      </w:r>
    </w:p>
    <w:p>
      <w:pPr>
        <w:spacing w:after="70"/>
        <w:ind w:left="351" w:hanging="215"/>
      </w:pPr>
      <w:r>
        <w:rPr>
          <w:rFonts w:ascii="Segoe UI" w:hAnsi="Segoe UI"/>
          <w:color w:val="1F4E5F"/>
          <w:sz w:val="20"/>
        </w:rPr>
        <w:t xml:space="preserve">—  </w:t>
      </w:r>
      <w:r>
        <w:rPr>
          <w:rFonts w:ascii="Segoe UI" w:hAnsi="Segoe UI"/>
          <w:color w:val="111111"/>
          <w:sz w:val="20"/>
        </w:rPr>
        <w:t>probar la venta con un solo comprador antes de construir cualquier plataforma.</w:t>
      </w:r>
    </w:p>
    <w:p>
      <w:pPr>
        <w:spacing w:after="70"/>
        <w:ind w:left="351" w:hanging="215"/>
      </w:pPr>
      <w:r>
        <w:rPr>
          <w:rFonts w:ascii="Segoe UI" w:hAnsi="Segoe UI"/>
          <w:color w:val="1F4E5F"/>
          <w:sz w:val="20"/>
        </w:rPr>
        <w:t xml:space="preserve">—  </w:t>
      </w:r>
      <w:r>
        <w:rPr>
          <w:rFonts w:ascii="Segoe UI" w:hAnsi="Segoe UI"/>
          <w:color w:val="111111"/>
          <w:sz w:val="20"/>
        </w:rPr>
        <w:t>sostener el sistema: una cosa, un archivo, una regla. Que sirva igual para proyectos, apuntes y cursos.</w:t>
      </w:r>
    </w:p>
    <w:p>
      <w:r>
        <w:br w:type="page"/>
      </w:r>
    </w:p>
    <w:p>
      <w:pPr>
        <w:spacing w:before="400" w:after="60"/>
        <w:pBdr>
          <w:bottom w:val="single" w:sz="12" w:space="6" w:color="1F4E5F"/>
        </w:pBdr>
      </w:pPr>
      <w:r>
        <w:rPr>
          <w:rFonts w:ascii="Segoe UI" w:hAnsi="Segoe UI"/>
          <w:b/>
          <w:i w:val="0"/>
          <w:caps w:val="0"/>
          <w:color w:val="111111"/>
          <w:sz w:val="30"/>
        </w:rPr>
        <w:t>Decisiones tomadas</w:t>
      </w:r>
    </w:p>
    <w:p>
      <w:pPr>
        <w:spacing w:before="0" w:after="160"/>
      </w:pPr>
      <w:r>
        <w:rPr>
          <w:rFonts w:ascii="Segoe UI" w:hAnsi="Segoe UI"/>
          <w:b w:val="0"/>
          <w:i w:val="0"/>
          <w:caps w:val="0"/>
          <w:color w:val="5A5A5A"/>
          <w:sz w:val="20"/>
        </w:rPr>
        <w:t>Para no volver a discutirlas.</w:t>
      </w:r>
    </w:p>
    <w:tbl>
      <w:tblPr>
        <w:tblW w:type="auto" w:w="0"/>
        <w:jc w:val="left"/>
        <w:tblLayout w:type="fixed"/>
        <w:tblLook w:firstColumn="1" w:firstRow="1" w:lastColumn="0" w:lastRow="0" w:noHBand="0" w:noVBand="1" w:val="04A0"/>
      </w:tblPr>
      <w:tblGrid>
        <w:gridCol w:w="5043"/>
        <w:gridCol w:w="5043"/>
      </w:tblGrid>
      <w:tr>
        <w:tc>
          <w:tcPr>
            <w:tcW w:type="dxa" w:w="3402"/>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Decisión</w:t>
            </w:r>
          </w:p>
        </w:tc>
        <w:tc>
          <w:tcPr>
            <w:tcW w:type="dxa" w:w="6350"/>
            <w:tcMar>
              <w:top w:w="90" w:type="dxa"/>
              <w:bottom w:w="90" w:type="dxa"/>
              <w:left w:w="120" w:type="dxa"/>
              <w:right w:w="120" w:type="dxa"/>
            </w:tcMar>
            <w:tcBorders>
              <w:top w:val="single" w:sz="4" w:color="D8D6D2"/>
              <w:bottom w:val="single" w:sz="4" w:color="D8D6D2"/>
              <w:left w:val="nil"/>
              <w:right w:val="nil"/>
            </w:tcBorders>
            <w:shd w:val="clear" w:color="auto" w:fill="F2F1EF"/>
          </w:tcPr>
          <w:p>
            <w:pPr>
              <w:spacing w:after="0" w:before="0" w:line="293" w:lineRule="auto"/>
            </w:pPr>
            <w:r>
              <w:rPr>
                <w:rFonts w:ascii="Segoe UI" w:hAnsi="Segoe UI"/>
                <w:b/>
                <w:color w:val="111111"/>
                <w:sz w:val="18"/>
              </w:rPr>
              <w:t>Por qué</w:t>
            </w:r>
          </w:p>
        </w:tc>
      </w:tr>
      <w:tr>
        <w:tc>
          <w:tcPr>
            <w:tcW w:type="dxa" w:w="3402"/>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HTML generado, nunca dibujado en el navegador</w:t>
            </w:r>
          </w:p>
        </w:tc>
        <w:tc>
          <w:tcPr>
            <w:tcW w:type="dxa" w:w="6350"/>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Es la diferencia entre existir y no existir para la IA y para los previsualizadores de enlaces</w:t>
            </w:r>
          </w:p>
        </w:tc>
      </w:tr>
      <w:tr>
        <w:tc>
          <w:tcPr>
            <w:tcW w:type="dxa" w:w="3402"/>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Sin npm ni node</w:t>
            </w:r>
          </w:p>
        </w:tc>
        <w:tc>
          <w:tcPr>
            <w:tcW w:type="dxa" w:w="6350"/>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Vicente pidió no tener cadena de herramientas. Python ya estaba</w:t>
            </w:r>
          </w:p>
        </w:tc>
      </w:tr>
      <w:tr>
        <w:tc>
          <w:tcPr>
            <w:tcW w:type="dxa" w:w="3402"/>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Todo el contenido en un solo archivo</w:t>
            </w:r>
          </w:p>
        </w:tc>
        <w:tc>
          <w:tcPr>
            <w:tcW w:type="dxa" w:w="6350"/>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Se edita en un lugar y se publica sin herramientas</w:t>
            </w:r>
          </w:p>
        </w:tc>
      </w:tr>
      <w:tr>
        <w:tc>
          <w:tcPr>
            <w:tcW w:type="dxa" w:w="3402"/>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Ninguna cara de menor de edad</w:t>
            </w:r>
          </w:p>
        </w:tc>
        <w:tc>
          <w:tcPr>
            <w:tcW w:type="dxa" w:w="6350"/>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Regla propia de Vicente, sin excepciones</w:t>
            </w:r>
          </w:p>
        </w:tc>
      </w:tr>
      <w:tr>
        <w:tc>
          <w:tcPr>
            <w:tcW w:type="dxa" w:w="3402"/>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Caras de personas adultas sí</w:t>
            </w:r>
          </w:p>
        </w:tc>
        <w:tc>
          <w:tcPr>
            <w:tcW w:type="dxa" w:w="6350"/>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El trabajo se ve hecho por gente y no por objetos</w:t>
            </w:r>
          </w:p>
        </w:tc>
      </w:tr>
      <w:tr>
        <w:tc>
          <w:tcPr>
            <w:tcW w:type="dxa" w:w="3402"/>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Cero marcadores publicados</w:t>
            </w:r>
          </w:p>
        </w:tc>
        <w:tc>
          <w:tcPr>
            <w:tcW w:type="dxa" w:w="6350"/>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Lo que falta se saca del sitio y se anota en FALTANTES.md</w:t>
            </w:r>
          </w:p>
        </w:tc>
      </w:tr>
      <w:tr>
        <w:tc>
          <w:tcPr>
            <w:tcW w:type="dxa" w:w="3402"/>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111111"/>
                <w:sz w:val="18"/>
              </w:rPr>
              <w:t>No construir plataforma de venta</w:t>
            </w:r>
          </w:p>
        </w:tc>
        <w:tc>
          <w:tcPr>
            <w:tcW w:type="dxa" w:w="6350"/>
            <w:tcMar>
              <w:top w:w="90" w:type="dxa"/>
              <w:bottom w:w="90" w:type="dxa"/>
              <w:left w:w="120" w:type="dxa"/>
              <w:right w:w="120" w:type="dxa"/>
            </w:tcMar>
            <w:tcBorders>
              <w:top w:val="single" w:sz="4" w:color="D8D6D2"/>
              <w:bottom w:val="single" w:sz="4" w:color="D8D6D2"/>
              <w:left w:val="nil"/>
              <w:right w:val="nil"/>
            </w:tcBorders>
          </w:tcPr>
          <w:p>
            <w:pPr>
              <w:spacing w:after="0" w:before="0" w:line="293" w:lineRule="auto"/>
            </w:pPr>
            <w:r>
              <w:rPr>
                <w:rFonts w:ascii="Segoe UI" w:hAnsi="Segoe UI"/>
                <w:b w:val="0"/>
                <w:color w:val="5A5A5A"/>
                <w:sz w:val="18"/>
              </w:rPr>
              <w:t>Se prevende primero; si funciona, se cobra con un servicio externo</w:t>
            </w:r>
          </w:p>
        </w:tc>
      </w:tr>
    </w:tbl>
    <w:p>
      <w:pPr>
        <w:spacing w:before="0" w:after="8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Próxima actualización</w:t>
      </w:r>
    </w:p>
    <w:p>
      <w:pPr>
        <w:spacing w:before="0" w:after="160"/>
      </w:pPr>
      <w:r>
        <w:rPr>
          <w:rFonts w:ascii="Segoe UI" w:hAnsi="Segoe UI"/>
          <w:b w:val="0"/>
          <w:i w:val="0"/>
          <w:caps w:val="0"/>
          <w:color w:val="5A5A5A"/>
          <w:sz w:val="20"/>
        </w:rPr>
        <w:t>Espacio para anotar qué cambió desde el 20 de septiembre de 2026.</w:t>
      </w:r>
    </w:p>
    <w:tbl>
      <w:tblPr>
        <w:tblW w:type="auto" w:w="0"/>
        <w:tblLayout w:type="fixed"/>
        <w:tblLook w:firstColumn="1" w:firstRow="1" w:lastColumn="0" w:lastRow="0" w:noHBand="0" w:noVBand="1" w:val="04A0"/>
      </w:tblPr>
      <w:tblGrid>
        <w:gridCol w:w="5043"/>
        <w:gridCol w:w="5043"/>
      </w:tblGrid>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Fecha</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hizo</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aprendió</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sigue</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bl>
    <w:p>
      <w:pPr>
        <w:spacing w:before="0" w:after="80"/>
      </w:pPr>
      <w:r>
        <w:rPr>
          <w:rFonts w:ascii="Segoe UI" w:hAnsi="Segoe UI"/>
          <w:b w:val="0"/>
          <w:i w:val="0"/>
          <w:caps w:val="0"/>
          <w:color w:val="111111"/>
          <w:sz w:val="20"/>
        </w:rPr>
      </w:r>
    </w:p>
    <w:p>
      <w:pPr>
        <w:spacing w:before="280"/>
        <w:jc w:val="center"/>
      </w:pPr>
      <w:r>
        <w:rPr>
          <w:rFonts w:ascii="Segoe UI" w:hAnsi="Segoe UI"/>
          <w:color w:val="5A5A5A"/>
          <w:sz w:val="16"/>
        </w:rPr>
        <w:t>Documento generado el 20 de septiembre de 2026  ·  La versión técnica vive en documentacion/PROYECTO.md  ·  Los pendientes vivos están en FALTANTES.md</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Segoe UI" w:hAnsi="Segoe UI" w:eastAsia="Segoe U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ewiyo.github.io/japortafolio-2.0/" TargetMode="External"/><Relationship Id="rId10" Type="http://schemas.openxmlformats.org/officeDocument/2006/relationships/hyperlink" Target="https://github.com/Fewiyo/japortafolio-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Portafolio — estado y plan</dc:title>
  <dc:subject/>
  <dc:creator>Vicente Cáceres Farías</dc:creator>
  <cp:keywords/>
  <dc:description>generated by python-docx</dc:description>
  <cp:lastModifiedBy/>
  <cp:revision>1</cp:revision>
  <dcterms:created xsi:type="dcterms:W3CDTF">2013-12-23T23:15:00Z</dcterms:created>
  <dcterms:modified xsi:type="dcterms:W3CDTF">2013-12-23T23:15:00Z</dcterms:modified>
  <cp:category/>
</cp:coreProperties>
</file>