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Dra. Martha Laura Ramírez Montiel</w:t>
      </w:r>
    </w:p>
    <w:p>
      <w:pPr>
        <w:pStyle w:val="FMXSubtitle"/>
      </w:pPr>
      <w:r>
        <w:t>Brief de cliente y plan preliminar de implementación</w:t>
      </w:r>
    </w:p>
    <w:p>
      <w:pPr>
        <w:pStyle w:val="FMXNote"/>
      </w:pPr>
      <w:r>
        <w:t>Versión de trabajo — 1 de octubre de 2026. Información recopilada del onboarding y de las actualizaciones proporcionadas por el operador. Pendiente de validación clínica, comercial, legal y operativa antes de publicar.</w:t>
      </w:r>
    </w:p>
    <w:p>
      <w:pPr>
        <w:pStyle w:val="Heading1"/>
      </w:pPr>
      <w:r>
        <w:t>1. Resumen del proyecto</w:t>
      </w:r>
    </w:p>
    <w:p>
      <w:r>
        <w:t>Cliente del sector salud, especialidad de ginecología. Alcance indicado: sitio web, página comercial de Facebook, agente de IA conversacional para WhatsApp y primera campaña de Meta Ads. El agente se llamará NatalIA. Las pacientes podrán elegir entre tres sedes: Apan, Texcoco y Pachuca.</w:t>
      </w:r>
    </w:p>
    <w:p>
      <w:r>
        <w:t>Estado de ejecución: este documento organiza la información y propone el plan. No se han creado ni configurado activos digitales, flujos de NatalIA o anuncios; tampoco se ha publicado contenido ni se ha comprometido presupuesto.</w:t>
      </w:r>
    </w:p>
    <w:p>
      <w:pPr>
        <w:pStyle w:val="Heading1"/>
      </w:pPr>
      <w:r>
        <w:t>2. Perfil profesional y servicios</w:t>
      </w:r>
    </w:p>
    <w:p>
      <w:r>
        <w:t>Bio recibida: médica ginecóloga con más de 10 años de experiencia en el ámbito público y privado; experta en VPH, colposcopia, laparoscopia ginecológica e histeroscopia. La redacción pública y las credenciales deberán ser aprobadas por la doctora y verificadas antes de su publicación.</w:t>
      </w:r>
    </w:p>
    <w:p>
      <w:pPr>
        <w:pStyle w:val="Heading2"/>
      </w:pPr>
      <w:r>
        <w:t>Servicios compartidos en el onboarding</w:t>
      </w:r>
    </w:p>
    <w:p>
      <w:pPr>
        <w:pStyle w:val="ListBullet"/>
      </w:pPr>
      <w:r>
        <w:t>Clínica y atención relacionada con VPH.</w:t>
      </w:r>
    </w:p>
    <w:p>
      <w:pPr>
        <w:pStyle w:val="ListBullet"/>
      </w:pPr>
      <w:r>
        <w:t>Consulta ginecológica.</w:t>
      </w:r>
    </w:p>
    <w:p>
      <w:pPr>
        <w:pStyle w:val="ListBullet"/>
      </w:pPr>
      <w:r>
        <w:t>Papanicolaou y colposcopia.</w:t>
      </w:r>
    </w:p>
    <w:p>
      <w:pPr>
        <w:pStyle w:val="ListBullet"/>
      </w:pPr>
      <w:r>
        <w:t>Histeroscopia.</w:t>
      </w:r>
    </w:p>
    <w:p>
      <w:pPr>
        <w:pStyle w:val="ListBullet"/>
      </w:pPr>
      <w:r>
        <w:t>Métodos de planificación familiar y consejería sexual.</w:t>
      </w:r>
    </w:p>
    <w:p>
      <w:pPr>
        <w:pStyle w:val="ListBullet"/>
      </w:pPr>
      <w:r>
        <w:t>Control y tratamiento de menopausia y osteoporosis.</w:t>
      </w:r>
    </w:p>
    <w:p>
      <w:pPr>
        <w:pStyle w:val="ListBullet"/>
      </w:pPr>
      <w:r>
        <w:t>AMEU y legrado.</w:t>
      </w:r>
    </w:p>
    <w:p>
      <w:pPr>
        <w:pStyle w:val="ListBullet"/>
      </w:pPr>
      <w:r>
        <w:t>Tratamiento de trastornos menstruales.</w:t>
      </w:r>
    </w:p>
    <w:p>
      <w:pPr>
        <w:pStyle w:val="ListBullet"/>
      </w:pPr>
      <w:r>
        <w:t>Vacunación contra VPH.</w:t>
      </w:r>
    </w:p>
    <w:p>
      <w:r>
        <w:t>Paciente ideal descrita por la doctora: pacientes con problemas ginecológicos o VPH, pacientes que requieran histeroscopia o colposcopia y pacientes ginecológicas en general.</w:t>
      </w:r>
    </w:p>
    <w:p>
      <w:pPr>
        <w:pStyle w:val="Heading1"/>
      </w:pPr>
      <w:r>
        <w:t>3. Consultas, paquetes y promociones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Servicio / paquete</w:t>
            </w:r>
          </w:p>
        </w:tc>
        <w:tc>
          <w:tcPr>
            <w:tcW w:type="dxa" w:w="3137"/>
          </w:tcPr>
          <w:p>
            <w:r>
              <w:rPr>
                <w:b/>
              </w:rPr>
              <w:t>Incluye / condiciones recibidas</w:t>
            </w:r>
          </w:p>
        </w:tc>
        <w:tc>
          <w:tcPr>
            <w:tcW w:type="dxa" w:w="3137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3137"/>
          </w:tcPr>
          <w:p>
            <w:r>
              <w:t>Consulta de primera vez</w:t>
            </w:r>
          </w:p>
        </w:tc>
        <w:tc>
          <w:tcPr>
            <w:tcW w:type="dxa" w:w="3137"/>
          </w:tcPr>
          <w:p>
            <w:r>
              <w:t>Duración estándar reportada: 1 hora</w:t>
            </w:r>
          </w:p>
        </w:tc>
        <w:tc>
          <w:tcPr>
            <w:tcW w:type="dxa" w:w="3137"/>
          </w:tcPr>
          <w:p>
            <w:r>
              <w:t>$1,100</w:t>
            </w:r>
          </w:p>
        </w:tc>
      </w:tr>
      <w:tr>
        <w:tc>
          <w:tcPr>
            <w:tcW w:type="dxa" w:w="3137"/>
          </w:tcPr>
          <w:p>
            <w:r>
              <w:t>Consulta subsecuente</w:t>
            </w:r>
          </w:p>
        </w:tc>
        <w:tc>
          <w:tcPr>
            <w:tcW w:type="dxa" w:w="3137"/>
          </w:tcPr>
          <w:p>
            <w:r>
              <w:t>Duración estándar reportada: 1 hora</w:t>
            </w:r>
          </w:p>
        </w:tc>
        <w:tc>
          <w:tcPr>
            <w:tcW w:type="dxa" w:w="3137"/>
          </w:tcPr>
          <w:p>
            <w:r>
              <w:t>$900</w:t>
            </w:r>
          </w:p>
        </w:tc>
      </w:tr>
      <w:tr>
        <w:tc>
          <w:tcPr>
            <w:tcW w:type="dxa" w:w="3137"/>
          </w:tcPr>
          <w:p>
            <w:r>
              <w:t>Check up básico</w:t>
            </w:r>
          </w:p>
        </w:tc>
        <w:tc>
          <w:tcPr>
            <w:tcW w:type="dxa" w:w="3137"/>
          </w:tcPr>
          <w:p>
            <w:r>
              <w:t>Consulta + Papanicolaou + colposcopia</w:t>
            </w:r>
          </w:p>
        </w:tc>
        <w:tc>
          <w:tcPr>
            <w:tcW w:type="dxa" w:w="3137"/>
          </w:tcPr>
          <w:p>
            <w:r>
              <w:t>$1,480</w:t>
            </w:r>
          </w:p>
        </w:tc>
      </w:tr>
      <w:tr>
        <w:tc>
          <w:tcPr>
            <w:tcW w:type="dxa" w:w="3137"/>
          </w:tcPr>
          <w:p>
            <w:r>
              <w:t>Check up 2</w:t>
            </w:r>
          </w:p>
        </w:tc>
        <w:tc>
          <w:tcPr>
            <w:tcW w:type="dxa" w:w="3137"/>
          </w:tcPr>
          <w:p>
            <w:r>
              <w:t>Consulta + Papanicolaou + colposcopia + rastreo ultrasonográfico de útero y ovarios + exploración clínica de mamas</w:t>
            </w:r>
          </w:p>
        </w:tc>
        <w:tc>
          <w:tcPr>
            <w:tcW w:type="dxa" w:w="3137"/>
          </w:tcPr>
          <w:p>
            <w:r>
              <w:t>$1,580</w:t>
            </w:r>
          </w:p>
        </w:tc>
      </w:tr>
      <w:tr>
        <w:tc>
          <w:tcPr>
            <w:tcW w:type="dxa" w:w="3137"/>
          </w:tcPr>
          <w:p>
            <w:r>
              <w:t>Check up 3</w:t>
            </w:r>
          </w:p>
        </w:tc>
        <w:tc>
          <w:tcPr>
            <w:tcW w:type="dxa" w:w="3137"/>
          </w:tcPr>
          <w:p>
            <w:r>
              <w:t>Componentes del Check up 2 + detección de infección urinaria por tira</w:t>
            </w:r>
          </w:p>
        </w:tc>
        <w:tc>
          <w:tcPr>
            <w:tcW w:type="dxa" w:w="3137"/>
          </w:tcPr>
          <w:p>
            <w:r>
              <w:t>$1,620</w:t>
            </w:r>
          </w:p>
        </w:tc>
      </w:tr>
      <w:tr>
        <w:tc>
          <w:tcPr>
            <w:tcW w:type="dxa" w:w="3137"/>
          </w:tcPr>
          <w:p>
            <w:r>
              <w:t>Paquete promocional comunicado</w:t>
            </w:r>
          </w:p>
        </w:tc>
        <w:tc>
          <w:tcPr>
            <w:tcW w:type="dxa" w:w="3137"/>
          </w:tcPr>
          <w:p>
            <w:r>
              <w:t>Colposcopia + exploración ginecológica + Papanicolaou. No se aclaró si incluye consulta ni su vigencia.</w:t>
            </w:r>
          </w:p>
        </w:tc>
        <w:tc>
          <w:tcPr>
            <w:tcW w:type="dxa" w:w="3137"/>
          </w:tcPr>
          <w:p>
            <w:r>
              <w:t>$1,000</w:t>
            </w:r>
          </w:p>
        </w:tc>
      </w:tr>
    </w:tbl>
    <w:p>
      <w:pPr>
        <w:pStyle w:val="Heading2"/>
      </w:pPr>
      <w:r>
        <w:t>Promociones señaladas como “solo mayo”</w:t>
      </w:r>
    </w:p>
    <w:p>
      <w:pPr>
        <w:pStyle w:val="ListBullet"/>
      </w:pPr>
      <w:r>
        <w:t>Retiro de implante: $2,200.</w:t>
      </w:r>
    </w:p>
    <w:p>
      <w:pPr>
        <w:pStyle w:val="ListBullet"/>
      </w:pPr>
      <w:r>
        <w:t>Retiro de DIU: $2,000.</w:t>
      </w:r>
    </w:p>
    <w:p>
      <w:pPr>
        <w:pStyle w:val="ListBullet"/>
      </w:pPr>
      <w:r>
        <w:t>Biopsia de endometrio: $1,950.</w:t>
      </w:r>
    </w:p>
    <w:p>
      <w:pPr>
        <w:pStyle w:val="ListBullet"/>
      </w:pPr>
      <w:r>
        <w:t>Se mencionaron paquetes especiales de detección de enfermedades de transmisión sexual; no se especificaron pruebas, precio ni condiciones.</w:t>
      </w:r>
    </w:p>
    <w:p>
      <w:pPr>
        <w:pStyle w:val="FMXNote"/>
      </w:pPr>
      <w:r>
        <w:t>No publicar estas promociones hasta confirmar vigencia, año, condiciones, disponibilidad por sede y contenido exacto. Debe aclararse la diferencia entre el paquete de $1,000 y el Check up básico de $1,480, particularmente si ambos incluyen consulta y exploración.</w:t>
      </w:r>
    </w:p>
    <w:p>
      <w:pPr>
        <w:pStyle w:val="Heading1"/>
      </w:pPr>
      <w:r>
        <w:t>4. Sedes y horarios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2353"/>
          </w:tcPr>
          <w:p>
            <w:r>
              <w:rPr>
                <w:b/>
              </w:rPr>
              <w:t>Consultorio y dirección</w:t>
            </w:r>
          </w:p>
        </w:tc>
        <w:tc>
          <w:tcPr>
            <w:tcW w:type="dxa" w:w="2353"/>
          </w:tcPr>
          <w:p>
            <w:r>
              <w:rPr>
                <w:b/>
              </w:rPr>
              <w:t>Horario reportado</w:t>
            </w:r>
          </w:p>
        </w:tc>
        <w:tc>
          <w:tcPr>
            <w:tcW w:type="dxa" w:w="2353"/>
          </w:tcPr>
          <w:p>
            <w:r>
              <w:rPr>
                <w:b/>
              </w:rPr>
              <w:t>Mapa</w:t>
            </w:r>
          </w:p>
        </w:tc>
      </w:tr>
      <w:tr>
        <w:tc>
          <w:tcPr>
            <w:tcW w:type="dxa" w:w="2353"/>
          </w:tcPr>
          <w:p>
            <w:r>
              <w:t>Apan</w:t>
            </w:r>
          </w:p>
        </w:tc>
        <w:tc>
          <w:tcPr>
            <w:tcW w:type="dxa" w:w="2353"/>
          </w:tcPr>
          <w:p>
            <w:r>
              <w:t>Clínica San Pablo, Ocampo Norte 1, Centro, Apan, Hidalgo.</w:t>
            </w:r>
          </w:p>
        </w:tc>
        <w:tc>
          <w:tcPr>
            <w:tcW w:type="dxa" w:w="2353"/>
          </w:tcPr>
          <w:p>
            <w:r>
              <w:t>Lunes a viernes: 9:00 a. m.–1:00 p. m. y 3:30–6:30 p. m.</w:t>
            </w:r>
          </w:p>
        </w:tc>
        <w:tc>
          <w:tcPr>
            <w:tcW w:type="dxa" w:w="2353"/>
          </w:tcPr>
          <w:p>
            <w:r>
              <w:t>https://share.google/35H4PicDbCe8kNF3K</w:t>
            </w:r>
          </w:p>
        </w:tc>
      </w:tr>
      <w:tr>
        <w:tc>
          <w:tcPr>
            <w:tcW w:type="dxa" w:w="2353"/>
          </w:tcPr>
          <w:p>
            <w:r>
              <w:t>Texcoco</w:t>
            </w:r>
          </w:p>
        </w:tc>
        <w:tc>
          <w:tcPr>
            <w:tcW w:type="dxa" w:w="2353"/>
          </w:tcPr>
          <w:p>
            <w:r>
              <w:t>Hospital Manedic, Avenida Emiliano Zapata 207, Santa Úrsula, Texcoco, Estado de México, C.P. 56150.</w:t>
            </w:r>
          </w:p>
        </w:tc>
        <w:tc>
          <w:tcPr>
            <w:tcW w:type="dxa" w:w="2353"/>
          </w:tcPr>
          <w:p>
            <w:r>
              <w:t>Únicamente viernes: 5:00–8:00 p. m.</w:t>
            </w:r>
          </w:p>
        </w:tc>
        <w:tc>
          <w:tcPr>
            <w:tcW w:type="dxa" w:w="2353"/>
          </w:tcPr>
          <w:p>
            <w:r>
              <w:t>https://maps.app.goo.gl/LCyxPgfi8zwk2e2Z7</w:t>
            </w:r>
          </w:p>
        </w:tc>
      </w:tr>
      <w:tr>
        <w:tc>
          <w:tcPr>
            <w:tcW w:type="dxa" w:w="2353"/>
          </w:tcPr>
          <w:p>
            <w:r>
              <w:t>Pachuca</w:t>
            </w:r>
          </w:p>
        </w:tc>
        <w:tc>
          <w:tcPr>
            <w:tcW w:type="dxa" w:w="2353"/>
          </w:tcPr>
          <w:p>
            <w:r>
              <w:t>Paseo de la Montaña 110B, colonia Ciudad de los Niños, C.P. 42070, Pachuca, Hidalgo.</w:t>
            </w:r>
          </w:p>
        </w:tc>
        <w:tc>
          <w:tcPr>
            <w:tcW w:type="dxa" w:w="2353"/>
          </w:tcPr>
          <w:p>
            <w:r>
              <w:t>Martes y miércoles: 9:00 a. m.–12:00 p. m.</w:t>
            </w:r>
          </w:p>
        </w:tc>
        <w:tc>
          <w:tcPr>
            <w:tcW w:type="dxa" w:w="2353"/>
          </w:tcPr>
          <w:p>
            <w:r>
              <w:t>https://maps.app.goo.gl/p6AYgjtAVpXP9WXs5</w:t>
            </w:r>
          </w:p>
        </w:tc>
      </w:tr>
    </w:tbl>
    <w:p>
      <w:r>
        <w:t>La agenda o sistema para validar disponibilidad no fue informado; el onboarding respondió “Ninguno”. Los horarios representan la información compartida, no disponibilidad de espacios verificada en tiempo real.</w:t>
      </w:r>
    </w:p>
    <w:p>
      <w:pPr>
        <w:pStyle w:val="Heading1"/>
      </w:pPr>
      <w:r>
        <w:t>5. Información para NatalIA</w:t>
      </w:r>
    </w:p>
    <w:p>
      <w:pPr>
        <w:pStyle w:val="ListBullet"/>
      </w:pPr>
      <w:r>
        <w:t>Nombre del agente: NatalIA.</w:t>
      </w:r>
    </w:p>
    <w:p>
      <w:pPr>
        <w:pStyle w:val="ListBullet"/>
      </w:pPr>
      <w:r>
        <w:t>Canal previsto: WhatsApp. No se ha definido aún si se usará WABA oficial o Evolution API ni se ha confirmado número, titularidad o estado del canal.</w:t>
      </w:r>
    </w:p>
    <w:p>
      <w:pPr>
        <w:pStyle w:val="ListBullet"/>
      </w:pPr>
      <w:r>
        <w:t>Alertas rojas mencionadas: “sangrado abundante” y “dolor abdominal intenso”. Falta que la doctora apruebe el protocolo de escalamiento, responsable y mensaje de respuesta.</w:t>
      </w:r>
    </w:p>
    <w:p>
      <w:pPr>
        <w:pStyle w:val="ListBullet"/>
      </w:pPr>
      <w:r>
        <w:t>Pago: no se proporcionaron datos bancarios; NatalIA no debe inventar ni enviar información de pago.</w:t>
      </w:r>
    </w:p>
    <w:p>
      <w:pPr>
        <w:pStyle w:val="ListBullet"/>
      </w:pPr>
      <w:r>
        <w:t>Facturación: la doctora indicó que no desea pedir automáticamente la Constancia de Situación Fiscal.</w:t>
      </w:r>
    </w:p>
    <w:p>
      <w:pPr>
        <w:pStyle w:val="ListBullet"/>
      </w:pPr>
      <w:r>
        <w:t>Fotos de perfil profesional y del consultorio: pendientes de recibir.</w:t>
      </w:r>
    </w:p>
    <w:p>
      <w:pPr>
        <w:pStyle w:val="Heading2"/>
      </w:pPr>
      <w:r>
        <w:t>Límites funcionales recomendados</w:t>
      </w:r>
    </w:p>
    <w:p>
      <w:pPr>
        <w:pStyle w:val="ListBullet"/>
      </w:pPr>
      <w:r>
        <w:t>Dar información administrativa aprobada sobre servicios, precios, sedes y horarios.</w:t>
      </w:r>
    </w:p>
    <w:p>
      <w:pPr>
        <w:pStyle w:val="ListBullet"/>
      </w:pPr>
      <w:r>
        <w:t>Permitir elegir sede y recibir una solicitud de cita; no confirmar citas mientras no exista una agenda que valide espacios.</w:t>
      </w:r>
    </w:p>
    <w:p>
      <w:pPr>
        <w:pStyle w:val="ListBullet"/>
      </w:pPr>
      <w:r>
        <w:t>No diagnosticar, prescribir ni improvisar orientación médica.</w:t>
      </w:r>
    </w:p>
    <w:p>
      <w:pPr>
        <w:pStyle w:val="ListBullet"/>
      </w:pPr>
      <w:r>
        <w:t>Minimizar datos personales y no solicitar síntomas detallados, estudios o imágenes clínicas de forma rutinaria.</w:t>
      </w:r>
    </w:p>
    <w:p>
      <w:pPr>
        <w:pStyle w:val="ListBullet"/>
      </w:pPr>
      <w:r>
        <w:t>Escalar situaciones de riesgo conforme a un protocolo aprobado por la doctora, sin inventar instrucciones de emergencia.</w:t>
      </w:r>
    </w:p>
    <w:p>
      <w:pPr>
        <w:pStyle w:val="Heading1"/>
      </w:pPr>
      <w:r>
        <w:t>6. Plan de implementación</w:t>
      </w:r>
    </w:p>
    <w:p>
      <w:pPr>
        <w:pStyle w:val="ListNumber"/>
      </w:pPr>
      <w:r>
        <w:t>Validación: aprobar credenciales, catálogo, precios, promociones, capacidad por sede, número de WhatsApp, sistema de agenda, responsable humano, privacidad y protocolo de escalamiento.</w:t>
      </w:r>
    </w:p>
    <w:p>
      <w:pPr>
        <w:pStyle w:val="ListNumber"/>
      </w:pPr>
      <w:r>
        <w:t>Identidad y contenido: definir logo/fotografía autorizada y línea gráfica; preparar textos del sitio y Facebook para revisión de la doctora.</w:t>
      </w:r>
    </w:p>
    <w:p>
      <w:pPr>
        <w:pStyle w:val="ListNumber"/>
      </w:pPr>
      <w:r>
        <w:t>Sitio web y Facebook: construir estructura informativa con sedes, horarios, servicios, precios confirmados, CTA a WhatsApp y aviso de privacidad.</w:t>
      </w:r>
    </w:p>
    <w:p>
      <w:pPr>
        <w:pStyle w:val="ListNumber"/>
      </w:pPr>
      <w:r>
        <w:t>NatalIA: definir canal, fuentes autorizadas, selección de sede, solicitud de cita, derivación humana y manejo de alertas; probar primero en entorno controlado.</w:t>
      </w:r>
    </w:p>
    <w:p>
      <w:pPr>
        <w:pStyle w:val="ListNumber"/>
      </w:pPr>
      <w:r>
        <w:t>Campaña piloto: elegir sede prioritaria, objetivo, presupuesto y periodo; crear piezas locales separadas por ciudad y revisar políticas de Meta y requisitos publicitarios aplicables antes de publicar.</w:t>
      </w:r>
    </w:p>
    <w:p>
      <w:pPr>
        <w:pStyle w:val="ListNumber"/>
      </w:pPr>
      <w:r>
        <w:t>Monitoreo: revisar conversaciones, solicitudes recibidas, citas confirmadas por una persona y capacidad de respuesta; usar métricas agregadas, sin enviar información clínica a plataformas publicitarias.</w:t>
      </w:r>
    </w:p>
    <w:p>
      <w:pPr>
        <w:pStyle w:val="Heading2"/>
      </w:pPr>
      <w:r>
        <w:t>Dirección de diseño inicial</w:t>
      </w:r>
    </w:p>
    <w:p>
      <w:r>
        <w:t>Propuesta preliminar: azul profundo y teal como colores base, fondos claros y un acento lavanda discreto. Estilo médico, sereno, legible y profesional; priorizar fotografías reales autorizadas y evitar imágenes dramatizadas o que exploten inseguridades. Paleta y marca pendientes de aprobación.</w:t>
      </w:r>
    </w:p>
    <w:p>
      <w:pPr>
        <w:pStyle w:val="Heading2"/>
      </w:pPr>
      <w:r>
        <w:t>Ejemplo de copy neutral para revisión</w:t>
      </w:r>
    </w:p>
    <w:p>
      <w:r>
        <w:t>Atención ginecológica con la Dra. Martha Laura Ramírez Montiel en [sede]. Consulta horarios y solicita disponibilidad por WhatsApp.</w:t>
      </w:r>
    </w:p>
    <w:p>
      <w:pPr>
        <w:pStyle w:val="FMXNote"/>
      </w:pPr>
      <w:r>
        <w:t>Borrador ilustrativo; no publicar antes de validar credenciales, datos de contacto, sede, cumplimiento y aprobación de la doctora.</w:t>
      </w:r>
    </w:p>
    <w:p>
      <w:pPr>
        <w:pStyle w:val="Heading1"/>
      </w:pPr>
      <w:r>
        <w:t>7. Pendientes prioritarios</w:t>
      </w:r>
    </w:p>
    <w:p>
      <w:pPr>
        <w:pStyle w:val="ListBullet"/>
      </w:pPr>
      <w:r>
        <w:t>Confirmar cédula, especialidad y credenciales que pueden anunciarse.</w:t>
      </w:r>
    </w:p>
    <w:p>
      <w:pPr>
        <w:pStyle w:val="ListBullet"/>
      </w:pPr>
      <w:r>
        <w:t>Recibir fotografía profesional, fotos del consultorio, logo y autorización de uso.</w:t>
      </w:r>
    </w:p>
    <w:p>
      <w:pPr>
        <w:pStyle w:val="ListBullet"/>
      </w:pPr>
      <w:r>
        <w:t>Definir número oficial de WhatsApp, titularidad, plataforma (WABA/Evolution) y responsables de administración.</w:t>
      </w:r>
    </w:p>
    <w:p>
      <w:pPr>
        <w:pStyle w:val="ListBullet"/>
      </w:pPr>
      <w:r>
        <w:t>Elegir sistema de agenda y reglas de confirmación, cancelación, cambios y recordatorios.</w:t>
      </w:r>
    </w:p>
    <w:p>
      <w:pPr>
        <w:pStyle w:val="ListBullet"/>
      </w:pPr>
      <w:r>
        <w:t>Aprobar protocolo para alertas clínicas y persona de escalamiento.</w:t>
      </w:r>
    </w:p>
    <w:p>
      <w:pPr>
        <w:pStyle w:val="ListBullet"/>
      </w:pPr>
      <w:r>
        <w:t>Conciliar precios y componentes de paquetes; confirmar vigencia/año de promociones de mayo y oferta de ITS.</w:t>
      </w:r>
    </w:p>
    <w:p>
      <w:pPr>
        <w:pStyle w:val="ListBullet"/>
      </w:pPr>
      <w:r>
        <w:t>Definir presupuesto, duración, sede prioritaria, cuenta publicitaria y responsable de contestar leads.</w:t>
      </w:r>
    </w:p>
    <w:p>
      <w:pPr>
        <w:pStyle w:val="ListBullet"/>
      </w:pPr>
      <w:r>
        <w:t>Aprobar aviso de privacidad, manejo de datos y requisitos de publicidad sanitaria aplicables.</w:t>
      </w:r>
    </w:p>
    <w:p>
      <w:pPr>
        <w:pStyle w:val="Heading1"/>
      </w:pPr>
      <w:r>
        <w:t>8. Estado documental y fuentes</w:t>
      </w:r>
    </w:p>
    <w:p>
      <w:r>
        <w:t>La ficha específica consultada en el Knowledge Base (`09_Prospectos/DraMarthaLauraRamirez_Prospecto.md`) registra contacto inicial y ausencia de rastro técnico al 8 de julio de 2026. El roster interno de clientes indica implementación; confirmar y actualizar el estado documental. La información detallada de la doctora, tarifas, sedes, horarios y alcance en este documento procede del onboarding y de las actualizaciones del operador, no de una ficha clínica verificada en el Knowledge Base.</w:t>
      </w:r>
    </w:p>
    <w:p>
      <w:r>
        <w:t>Referencias operativas internas: `05_SOPs/SOP_Meta_WABA.md` (prerrequisitos del canal WhatsApp oficial); `10_Servicios/Catalogo_Servicios_FMX.md` (portafolio de sitios/landing pages, agentes y automatización).</w:t>
      </w:r>
    </w:p>
    <w:p>
      <w:r>
        <w:t>Referencias regulatorias y de plataforma para revisar antes de publicar: COFEPRIS — Aviso de Publicidad: https://www.gob.mx/cofepris/acciones-y-programas/aviso-publicitario ; COFEPRIS — Permiso de Publicidad: https://www.gob.mx/cofepris/acciones-y-programas/permiso-publicitario ; Meta — Personal Attributes: https://transparency.meta.com/policies/ad-standards/objectionable-content/privacy-violations-personal-attributes/ . La clasificación y cumplimiento de cada pieza deben confirmarse antes de difusión.</w:t>
      </w:r>
    </w:p>
    <w:p>
      <w:pPr>
        <w:pStyle w:val="FMXNote"/>
      </w:pPr>
      <w:r>
        <w:t>Documento interno de trabajo. No sustituye revisión médica, legal ni validación de los datos operativos por la doctora.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de trabajo · 1 de octubre de 2026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FMX AI FLOWS  |  DOSSIER INTERNO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MXSubtitle">
    <w:name w:val="FMX Subtitle"/>
    <w:basedOn w:val="Normal"/>
    <w:rPr>
      <w:rFonts w:ascii="Arial" w:hAnsi="Arial"/>
      <w:color w:val="367C80"/>
      <w:sz w:val="24"/>
    </w:rPr>
  </w:style>
  <w:style w:type="paragraph" w:customStyle="1" w:styleId="FMXNote">
    <w:name w:val="FMX Note"/>
    <w:basedOn w:val="Normal"/>
    <w:rPr>
      <w:rFonts w:ascii="Arial" w:hAnsi="Arial"/>
      <w:i/>
      <w:color w:val="5965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