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DD" w:rsidRDefault="00592D7A" w:rsidP="0043163C">
      <w:pPr>
        <w:pStyle w:val="Title"/>
      </w:pPr>
      <w:r>
        <w:t>HL7 Tutorial Specification</w:t>
      </w:r>
    </w:p>
    <w:p w:rsidR="00592D7A" w:rsidRDefault="0041726B">
      <w:r>
        <w:t>Version:  0.2</w:t>
      </w:r>
      <w:r w:rsidR="00592D7A">
        <w:tab/>
      </w:r>
      <w:proofErr w:type="gramStart"/>
      <w:r w:rsidR="00592D7A">
        <w:t>Title</w:t>
      </w:r>
      <w:proofErr w:type="gramEnd"/>
      <w:r w:rsidR="00592D7A">
        <w:t xml:space="preserve">:  </w:t>
      </w:r>
      <w:bookmarkStart w:id="0" w:name="_GoBack"/>
      <w:r w:rsidR="00E17963" w:rsidRPr="00E17963">
        <w:rPr>
          <w:b/>
        </w:rPr>
        <w:t xml:space="preserve">FHIR for </w:t>
      </w:r>
      <w:r w:rsidR="00C51977">
        <w:rPr>
          <w:b/>
        </w:rPr>
        <w:t>Software Developers</w:t>
      </w:r>
      <w:bookmarkEnd w:id="0"/>
    </w:p>
    <w:p w:rsidR="00592D7A" w:rsidRDefault="00592D7A">
      <w:r>
        <w:t xml:space="preserve">Complete the table below </w:t>
      </w:r>
      <w:r w:rsidR="00D6028D">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155"/>
        <w:gridCol w:w="3697"/>
      </w:tblGrid>
      <w:tr w:rsidR="00592D7A" w:rsidRPr="00D6028D" w:rsidTr="00D6028D">
        <w:tc>
          <w:tcPr>
            <w:tcW w:w="1390" w:type="dxa"/>
          </w:tcPr>
          <w:p w:rsidR="00592D7A" w:rsidRPr="00D6028D" w:rsidRDefault="00592D7A" w:rsidP="00D6028D">
            <w:pPr>
              <w:spacing w:after="0" w:line="240" w:lineRule="auto"/>
            </w:pPr>
            <w:r w:rsidRPr="00D6028D">
              <w:t>Title</w:t>
            </w:r>
          </w:p>
        </w:tc>
        <w:tc>
          <w:tcPr>
            <w:tcW w:w="4155" w:type="dxa"/>
          </w:tcPr>
          <w:p w:rsidR="00592D7A" w:rsidRPr="00D6028D" w:rsidRDefault="00C51977" w:rsidP="00D6028D">
            <w:pPr>
              <w:spacing w:after="0" w:line="240" w:lineRule="auto"/>
            </w:pPr>
            <w:r>
              <w:t>FHIR for Software Developers</w:t>
            </w:r>
          </w:p>
        </w:tc>
        <w:tc>
          <w:tcPr>
            <w:tcW w:w="3697" w:type="dxa"/>
          </w:tcPr>
          <w:p w:rsidR="00592D7A" w:rsidRPr="00D6028D" w:rsidRDefault="00592D7A" w:rsidP="00D6028D">
            <w:pPr>
              <w:spacing w:after="0" w:line="240" w:lineRule="auto"/>
            </w:pPr>
            <w:r w:rsidRPr="00D6028D">
              <w:t>This title is unique and friendly it explains what is intended.  Make sure that the title makes sense to those who don’t know the topic well.</w:t>
            </w:r>
          </w:p>
        </w:tc>
      </w:tr>
      <w:tr w:rsidR="00592D7A" w:rsidRPr="00D6028D" w:rsidTr="00D6028D">
        <w:tc>
          <w:tcPr>
            <w:tcW w:w="1390" w:type="dxa"/>
          </w:tcPr>
          <w:p w:rsidR="00592D7A" w:rsidRPr="00D6028D" w:rsidRDefault="00592D7A" w:rsidP="00D6028D">
            <w:pPr>
              <w:spacing w:after="0" w:line="240" w:lineRule="auto"/>
            </w:pPr>
            <w:r w:rsidRPr="00D6028D">
              <w:t>Summary</w:t>
            </w:r>
          </w:p>
        </w:tc>
        <w:tc>
          <w:tcPr>
            <w:tcW w:w="4155" w:type="dxa"/>
          </w:tcPr>
          <w:p w:rsidR="0041726B" w:rsidRPr="00D6028D" w:rsidRDefault="008001E2" w:rsidP="0041726B">
            <w:pPr>
              <w:spacing w:after="0" w:line="240" w:lineRule="auto"/>
            </w:pPr>
            <w:r>
              <w:t xml:space="preserve">A deep-dive into the infrastructure parts of the FHIR specification. </w:t>
            </w:r>
            <w:r w:rsidR="00E17963">
              <w:t>Get insight in how to design, develop and test software that uses the</w:t>
            </w:r>
            <w:r>
              <w:t xml:space="preserve"> FHIR interoperability standard, all the way from the wire-format up to validation and storage. </w:t>
            </w:r>
          </w:p>
        </w:tc>
        <w:tc>
          <w:tcPr>
            <w:tcW w:w="3697" w:type="dxa"/>
          </w:tcPr>
          <w:p w:rsidR="00592D7A" w:rsidRPr="00D6028D" w:rsidRDefault="00592D7A" w:rsidP="00D6028D">
            <w:pPr>
              <w:spacing w:after="0" w:line="240" w:lineRule="auto"/>
            </w:pPr>
            <w:r w:rsidRPr="00D6028D">
              <w:t>Explain what the tutorial is about</w:t>
            </w:r>
            <w:r w:rsidR="00A11D6D" w:rsidRPr="00D6028D">
              <w:t>.  Remember this is marketing information about your intended tutorial or information session and should encourage people, and give them a reason to attend.</w:t>
            </w:r>
          </w:p>
        </w:tc>
      </w:tr>
      <w:tr w:rsidR="00592D7A" w:rsidRPr="00D6028D" w:rsidTr="00D6028D">
        <w:tc>
          <w:tcPr>
            <w:tcW w:w="1390" w:type="dxa"/>
          </w:tcPr>
          <w:p w:rsidR="00592D7A" w:rsidRPr="00D6028D" w:rsidRDefault="00A11D6D" w:rsidP="00D6028D">
            <w:pPr>
              <w:spacing w:after="0" w:line="240" w:lineRule="auto"/>
            </w:pPr>
            <w:r w:rsidRPr="00D6028D">
              <w:t xml:space="preserve">The tutorial will benefit </w:t>
            </w:r>
          </w:p>
        </w:tc>
        <w:tc>
          <w:tcPr>
            <w:tcW w:w="4155" w:type="dxa"/>
          </w:tcPr>
          <w:p w:rsidR="00592D7A" w:rsidRPr="00D6028D" w:rsidRDefault="00E17963" w:rsidP="00E17963">
            <w:pPr>
              <w:spacing w:after="0" w:line="240" w:lineRule="auto"/>
            </w:pPr>
            <w:r>
              <w:t>Software developers, team leads, infrastructure architects</w:t>
            </w:r>
          </w:p>
        </w:tc>
        <w:tc>
          <w:tcPr>
            <w:tcW w:w="3697" w:type="dxa"/>
          </w:tcPr>
          <w:p w:rsidR="00592D7A" w:rsidRPr="00D6028D" w:rsidRDefault="00A11D6D" w:rsidP="00D6028D">
            <w:pPr>
              <w:spacing w:after="0" w:line="240" w:lineRule="auto"/>
            </w:pPr>
            <w:r w:rsidRPr="00D6028D">
              <w:t>This defines the audience</w:t>
            </w:r>
          </w:p>
        </w:tc>
      </w:tr>
      <w:tr w:rsidR="00592D7A" w:rsidRPr="00D6028D" w:rsidTr="00D6028D">
        <w:tc>
          <w:tcPr>
            <w:tcW w:w="1390" w:type="dxa"/>
          </w:tcPr>
          <w:p w:rsidR="00592D7A" w:rsidRPr="00D6028D" w:rsidRDefault="00A11D6D" w:rsidP="00D6028D">
            <w:pPr>
              <w:spacing w:after="0" w:line="240" w:lineRule="auto"/>
            </w:pPr>
            <w:r w:rsidRPr="00D6028D">
              <w:t>Upon completion of this tutorial the students will have obtained the following</w:t>
            </w:r>
          </w:p>
        </w:tc>
        <w:tc>
          <w:tcPr>
            <w:tcW w:w="4155" w:type="dxa"/>
          </w:tcPr>
          <w:p w:rsidR="00AC682C" w:rsidRDefault="00FD4D9D" w:rsidP="00E17963">
            <w:pPr>
              <w:pStyle w:val="ListParagraph"/>
              <w:numPr>
                <w:ilvl w:val="0"/>
                <w:numId w:val="1"/>
              </w:numPr>
              <w:spacing w:after="0" w:line="240" w:lineRule="auto"/>
            </w:pPr>
            <w:r>
              <w:t xml:space="preserve">Understand how Resources align with object-oriented and other common software-engineering principles. </w:t>
            </w:r>
          </w:p>
          <w:p w:rsidR="00AC682C" w:rsidRDefault="00FD4D9D" w:rsidP="00E17963">
            <w:pPr>
              <w:pStyle w:val="ListParagraph"/>
              <w:numPr>
                <w:ilvl w:val="0"/>
                <w:numId w:val="1"/>
              </w:numPr>
              <w:spacing w:after="0" w:line="240" w:lineRule="auto"/>
            </w:pPr>
            <w:r>
              <w:t xml:space="preserve">List the </w:t>
            </w:r>
            <w:r w:rsidR="00F15F02">
              <w:t>four</w:t>
            </w:r>
            <w:r>
              <w:t xml:space="preserve"> of interoperability paradigms supported by FHIR</w:t>
            </w:r>
          </w:p>
          <w:p w:rsidR="00FD4D9D" w:rsidRDefault="00FD4D9D" w:rsidP="00E17963">
            <w:pPr>
              <w:pStyle w:val="ListParagraph"/>
              <w:numPr>
                <w:ilvl w:val="0"/>
                <w:numId w:val="1"/>
              </w:numPr>
              <w:spacing w:after="0" w:line="240" w:lineRule="auto"/>
            </w:pPr>
            <w:r>
              <w:t>Understand the FHIR REST service operations and how to implement them</w:t>
            </w:r>
          </w:p>
          <w:p w:rsidR="00491C11" w:rsidRDefault="00E17963" w:rsidP="00E17963">
            <w:pPr>
              <w:pStyle w:val="ListParagraph"/>
              <w:numPr>
                <w:ilvl w:val="0"/>
                <w:numId w:val="1"/>
              </w:numPr>
              <w:spacing w:after="0" w:line="240" w:lineRule="auto"/>
            </w:pPr>
            <w:r>
              <w:t xml:space="preserve">Understand </w:t>
            </w:r>
            <w:r w:rsidR="00AC682C">
              <w:t xml:space="preserve">how </w:t>
            </w:r>
            <w:r>
              <w:t xml:space="preserve">the </w:t>
            </w:r>
            <w:r w:rsidR="00AC682C">
              <w:t xml:space="preserve">Atom, </w:t>
            </w:r>
            <w:r>
              <w:t>Xml and JSON wire formats</w:t>
            </w:r>
            <w:r w:rsidR="00AC682C">
              <w:t xml:space="preserve"> are used</w:t>
            </w:r>
            <w:r w:rsidR="0041726B">
              <w:t xml:space="preserve"> in FHIR</w:t>
            </w:r>
          </w:p>
          <w:p w:rsidR="00F15F02" w:rsidRDefault="00F15F02" w:rsidP="00F15F02">
            <w:pPr>
              <w:pStyle w:val="ListParagraph"/>
              <w:numPr>
                <w:ilvl w:val="0"/>
                <w:numId w:val="1"/>
              </w:numPr>
              <w:spacing w:after="0" w:line="240" w:lineRule="auto"/>
            </w:pPr>
            <w:r>
              <w:t>Understand versioning and bundles</w:t>
            </w:r>
          </w:p>
          <w:p w:rsidR="00F15F02" w:rsidRDefault="00F15F02" w:rsidP="006C3E3E">
            <w:pPr>
              <w:pStyle w:val="ListParagraph"/>
              <w:numPr>
                <w:ilvl w:val="0"/>
                <w:numId w:val="1"/>
              </w:numPr>
              <w:spacing w:after="0" w:line="240" w:lineRule="auto"/>
            </w:pPr>
            <w:r>
              <w:t>Compare strategies for using object models</w:t>
            </w:r>
            <w:r w:rsidR="002730B7">
              <w:t>, validation</w:t>
            </w:r>
            <w:r>
              <w:t xml:space="preserve"> and (de)serialization </w:t>
            </w:r>
          </w:p>
          <w:p w:rsidR="00E17963" w:rsidRDefault="006C3E3E" w:rsidP="006C3E3E">
            <w:pPr>
              <w:pStyle w:val="ListParagraph"/>
              <w:numPr>
                <w:ilvl w:val="0"/>
                <w:numId w:val="1"/>
              </w:numPr>
              <w:spacing w:after="0" w:line="240" w:lineRule="auto"/>
            </w:pPr>
            <w:r>
              <w:t>Use relational or document-oriented storage for persistence of resources</w:t>
            </w:r>
          </w:p>
          <w:p w:rsidR="006C3E3E" w:rsidRDefault="006C3E3E" w:rsidP="00AC682C">
            <w:pPr>
              <w:pStyle w:val="ListParagraph"/>
              <w:numPr>
                <w:ilvl w:val="0"/>
                <w:numId w:val="1"/>
              </w:numPr>
              <w:spacing w:after="0" w:line="240" w:lineRule="auto"/>
            </w:pPr>
            <w:r>
              <w:t>Understand how to implement search functionality</w:t>
            </w:r>
          </w:p>
          <w:p w:rsidR="00F15F02" w:rsidRPr="00D6028D" w:rsidRDefault="00F15F02" w:rsidP="00AC682C">
            <w:pPr>
              <w:pStyle w:val="ListParagraph"/>
              <w:numPr>
                <w:ilvl w:val="0"/>
                <w:numId w:val="1"/>
              </w:numPr>
              <w:spacing w:after="0" w:line="240" w:lineRule="auto"/>
            </w:pPr>
            <w:r>
              <w:t>Know and use the provided reference implementations</w:t>
            </w:r>
          </w:p>
        </w:tc>
        <w:tc>
          <w:tcPr>
            <w:tcW w:w="3697" w:type="dxa"/>
          </w:tcPr>
          <w:p w:rsidR="00592D7A" w:rsidRPr="00D6028D" w:rsidRDefault="00A11D6D" w:rsidP="00D6028D">
            <w:pPr>
              <w:spacing w:after="0" w:line="240" w:lineRule="auto"/>
            </w:pPr>
            <w:r w:rsidRPr="00D6028D">
              <w:t>These are the competencies.  They are driven by verbs.  These verbs include the following, each indicating a higher level skill:</w:t>
            </w:r>
          </w:p>
          <w:p w:rsidR="00A11D6D" w:rsidRPr="00D6028D" w:rsidRDefault="00A11D6D" w:rsidP="00D6028D">
            <w:pPr>
              <w:spacing w:after="0" w:line="240" w:lineRule="auto"/>
            </w:pPr>
            <w:r w:rsidRPr="00D6028D">
              <w:t xml:space="preserve">1:  </w:t>
            </w:r>
            <w:r w:rsidR="007A48CD">
              <w:t>know - recall, list, name</w:t>
            </w:r>
          </w:p>
          <w:p w:rsidR="00A11D6D" w:rsidRPr="00D6028D" w:rsidRDefault="00A11D6D" w:rsidP="00D6028D">
            <w:pPr>
              <w:spacing w:after="0" w:line="240" w:lineRule="auto"/>
            </w:pPr>
            <w:r w:rsidRPr="00D6028D">
              <w:t>2:  explain</w:t>
            </w:r>
            <w:r w:rsidR="007A48CD">
              <w:t>, understand</w:t>
            </w:r>
          </w:p>
          <w:p w:rsidR="00A11D6D" w:rsidRPr="00D6028D" w:rsidRDefault="00A11D6D" w:rsidP="00D6028D">
            <w:pPr>
              <w:spacing w:after="0" w:line="240" w:lineRule="auto"/>
            </w:pPr>
            <w:r w:rsidRPr="00D6028D">
              <w:t>3:  do (perform, use)</w:t>
            </w:r>
          </w:p>
          <w:p w:rsidR="00A11D6D" w:rsidRPr="00D6028D" w:rsidRDefault="00A11D6D" w:rsidP="00D6028D">
            <w:pPr>
              <w:spacing w:after="0" w:line="240" w:lineRule="auto"/>
            </w:pPr>
            <w:r w:rsidRPr="00D6028D">
              <w:t>4: analyse</w:t>
            </w:r>
          </w:p>
          <w:p w:rsidR="00A11D6D" w:rsidRPr="00D6028D" w:rsidRDefault="00A11D6D" w:rsidP="00D6028D">
            <w:pPr>
              <w:spacing w:after="0" w:line="240" w:lineRule="auto"/>
            </w:pPr>
            <w:r w:rsidRPr="00D6028D">
              <w:t>5: strategise</w:t>
            </w:r>
          </w:p>
          <w:p w:rsidR="00A11D6D" w:rsidRPr="00D6028D" w:rsidRDefault="00C149A7" w:rsidP="00D6028D">
            <w:pPr>
              <w:spacing w:after="0" w:line="240" w:lineRule="auto"/>
            </w:pPr>
            <w:r w:rsidRPr="00D6028D">
              <w:t>(see appendix A)</w:t>
            </w:r>
          </w:p>
        </w:tc>
      </w:tr>
      <w:tr w:rsidR="00D6028D" w:rsidRPr="00D6028D" w:rsidTr="00D6028D">
        <w:tc>
          <w:tcPr>
            <w:tcW w:w="1390" w:type="dxa"/>
          </w:tcPr>
          <w:p w:rsidR="00D6028D" w:rsidRPr="00D6028D" w:rsidRDefault="00D6028D" w:rsidP="00D6028D">
            <w:pPr>
              <w:spacing w:after="0" w:line="240" w:lineRule="auto"/>
            </w:pPr>
            <w:r w:rsidRPr="00D6028D">
              <w:t>Prerequisites</w:t>
            </w:r>
          </w:p>
        </w:tc>
        <w:tc>
          <w:tcPr>
            <w:tcW w:w="4155" w:type="dxa"/>
          </w:tcPr>
          <w:p w:rsidR="00D6028D" w:rsidRPr="00D6028D" w:rsidRDefault="00AC682C" w:rsidP="00AC682C">
            <w:pPr>
              <w:spacing w:after="0" w:line="240" w:lineRule="auto"/>
            </w:pPr>
            <w:r>
              <w:t xml:space="preserve">The “Introduction to HL7 FHIR” tutorial. </w:t>
            </w:r>
          </w:p>
        </w:tc>
        <w:tc>
          <w:tcPr>
            <w:tcW w:w="3697" w:type="dxa"/>
          </w:tcPr>
          <w:p w:rsidR="00D6028D" w:rsidRPr="00D6028D" w:rsidRDefault="00D6028D" w:rsidP="00D6028D">
            <w:pPr>
              <w:spacing w:after="0" w:line="240" w:lineRule="auto"/>
            </w:pPr>
          </w:p>
        </w:tc>
      </w:tr>
      <w:tr w:rsidR="00592D7A" w:rsidRPr="00D6028D" w:rsidTr="00D6028D">
        <w:tc>
          <w:tcPr>
            <w:tcW w:w="1390" w:type="dxa"/>
          </w:tcPr>
          <w:p w:rsidR="00592D7A" w:rsidRPr="00D6028D" w:rsidRDefault="00595CD8" w:rsidP="00D6028D">
            <w:pPr>
              <w:spacing w:after="0" w:line="240" w:lineRule="auto"/>
            </w:pPr>
            <w:r w:rsidRPr="00D6028D">
              <w:t>Skills required to teach</w:t>
            </w:r>
          </w:p>
        </w:tc>
        <w:tc>
          <w:tcPr>
            <w:tcW w:w="4155" w:type="dxa"/>
          </w:tcPr>
          <w:p w:rsidR="007C53C6" w:rsidRPr="00D6028D" w:rsidRDefault="00F15F02" w:rsidP="00F15F02">
            <w:pPr>
              <w:spacing w:after="0" w:line="240" w:lineRule="auto"/>
            </w:pPr>
            <w:r>
              <w:t>Extensive familiarity with the FHIR specification. Expert knowledge of database platforms, software-engineering principles, and internet-technologies.</w:t>
            </w:r>
          </w:p>
        </w:tc>
        <w:tc>
          <w:tcPr>
            <w:tcW w:w="3697" w:type="dxa"/>
          </w:tcPr>
          <w:p w:rsidR="00592D7A" w:rsidRPr="00D6028D" w:rsidRDefault="007C53C6" w:rsidP="00D6028D">
            <w:pPr>
              <w:spacing w:after="0" w:line="240" w:lineRule="auto"/>
            </w:pPr>
            <w:r w:rsidRPr="00D6028D">
              <w:t>Identify the skills needed to present this material</w:t>
            </w:r>
          </w:p>
        </w:tc>
      </w:tr>
      <w:tr w:rsidR="00595CD8" w:rsidRPr="00D6028D" w:rsidTr="00D6028D">
        <w:tc>
          <w:tcPr>
            <w:tcW w:w="1390" w:type="dxa"/>
          </w:tcPr>
          <w:p w:rsidR="00595CD8" w:rsidRPr="00D6028D" w:rsidRDefault="00595CD8" w:rsidP="00D6028D">
            <w:pPr>
              <w:spacing w:after="0" w:line="240" w:lineRule="auto"/>
            </w:pPr>
            <w:r w:rsidRPr="00D6028D">
              <w:t>Faculty</w:t>
            </w:r>
          </w:p>
        </w:tc>
        <w:tc>
          <w:tcPr>
            <w:tcW w:w="4155" w:type="dxa"/>
          </w:tcPr>
          <w:p w:rsidR="00595CD8" w:rsidRPr="00D6028D" w:rsidRDefault="00FF6FCE" w:rsidP="009A72D5">
            <w:pPr>
              <w:spacing w:after="0" w:line="240" w:lineRule="auto"/>
            </w:pPr>
            <w:proofErr w:type="spellStart"/>
            <w:r>
              <w:t>Ewout</w:t>
            </w:r>
            <w:proofErr w:type="spellEnd"/>
            <w:r>
              <w:t xml:space="preserve"> Kramer, </w:t>
            </w:r>
            <w:r w:rsidR="009A72D5">
              <w:t>Jean Duteau, Grahame Grieve (backup)</w:t>
            </w:r>
          </w:p>
        </w:tc>
        <w:tc>
          <w:tcPr>
            <w:tcW w:w="3697" w:type="dxa"/>
          </w:tcPr>
          <w:p w:rsidR="00595CD8" w:rsidRPr="00D6028D" w:rsidRDefault="00595CD8" w:rsidP="00D6028D">
            <w:pPr>
              <w:spacing w:after="0" w:line="240" w:lineRule="auto"/>
            </w:pPr>
            <w:r w:rsidRPr="00D6028D">
              <w:t>Indicate the person prepared to deliver and be responsible for this course</w:t>
            </w:r>
          </w:p>
        </w:tc>
      </w:tr>
    </w:tbl>
    <w:p w:rsidR="009C631D" w:rsidRDefault="00592D7A" w:rsidP="009C631D">
      <w:pPr>
        <w:pStyle w:val="Heading1"/>
      </w:pPr>
      <w:r>
        <w:br w:type="page"/>
      </w:r>
      <w:r w:rsidR="009C631D">
        <w:lastRenderedPageBreak/>
        <w:t xml:space="preserve">Actual </w:t>
      </w:r>
      <w:r w:rsidR="009C631D" w:rsidRPr="009C631D">
        <w:t xml:space="preserve">Training Plan </w:t>
      </w:r>
    </w:p>
    <w:p w:rsidR="009C631D" w:rsidRPr="009C631D" w:rsidRDefault="009C631D" w:rsidP="009C631D">
      <w:r>
        <w:t>See sample below to assist you in completing the training plan.</w:t>
      </w:r>
    </w:p>
    <w:tbl>
      <w:tblPr>
        <w:tblW w:w="8682" w:type="dxa"/>
        <w:tblInd w:w="93" w:type="dxa"/>
        <w:tblLook w:val="04A0" w:firstRow="1" w:lastRow="0" w:firstColumn="1" w:lastColumn="0" w:noHBand="0" w:noVBand="1"/>
      </w:tblPr>
      <w:tblGrid>
        <w:gridCol w:w="1534"/>
        <w:gridCol w:w="2934"/>
        <w:gridCol w:w="990"/>
        <w:gridCol w:w="3224"/>
      </w:tblGrid>
      <w:tr w:rsidR="009C631D" w:rsidRPr="00D6028D" w:rsidTr="00265E03">
        <w:trPr>
          <w:trHeight w:val="303"/>
        </w:trPr>
        <w:tc>
          <w:tcPr>
            <w:tcW w:w="15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Resources</w:t>
            </w:r>
          </w:p>
        </w:tc>
      </w:tr>
      <w:tr w:rsidR="009C631D" w:rsidRPr="00D6028D" w:rsidTr="00CD23B5">
        <w:trPr>
          <w:trHeight w:val="900"/>
        </w:trPr>
        <w:tc>
          <w:tcPr>
            <w:tcW w:w="15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9C631D">
            <w:pPr>
              <w:spacing w:after="0" w:line="240" w:lineRule="auto"/>
              <w:rPr>
                <w:rFonts w:eastAsia="Times New Roman" w:cs="Calibri"/>
                <w:color w:val="000000"/>
                <w:lang w:eastAsia="en-AU"/>
              </w:rPr>
            </w:pPr>
            <w:r>
              <w:rPr>
                <w:rFonts w:eastAsia="Times New Roman" w:cs="Calibri"/>
                <w:color w:val="000000"/>
                <w:lang w:eastAsia="en-AU"/>
              </w:rPr>
              <w:t>Introduction</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BE57B5">
            <w:pPr>
              <w:spacing w:after="0" w:line="240" w:lineRule="auto"/>
              <w:rPr>
                <w:rFonts w:eastAsia="Times New Roman" w:cs="Calibri"/>
                <w:color w:val="000000"/>
                <w:lang w:eastAsia="en-AU"/>
              </w:rPr>
            </w:pPr>
            <w:r>
              <w:rPr>
                <w:rFonts w:eastAsia="Times New Roman" w:cs="Calibri"/>
                <w:color w:val="000000"/>
                <w:lang w:eastAsia="en-AU"/>
              </w:rPr>
              <w:t xml:space="preserve">Introduce presenter and </w:t>
            </w:r>
            <w:proofErr w:type="gramStart"/>
            <w:r>
              <w:rPr>
                <w:rFonts w:eastAsia="Times New Roman" w:cs="Calibri"/>
                <w:color w:val="000000"/>
                <w:lang w:eastAsia="en-AU"/>
              </w:rPr>
              <w:t>attendees,</w:t>
            </w:r>
            <w:proofErr w:type="gramEnd"/>
            <w:r>
              <w:rPr>
                <w:rFonts w:eastAsia="Times New Roman" w:cs="Calibri"/>
                <w:color w:val="000000"/>
                <w:lang w:eastAsia="en-AU"/>
              </w:rPr>
              <w:t xml:space="preserve"> identify familiarity with material and software engineering background.</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r>
      <w:tr w:rsidR="009C631D" w:rsidRPr="00D6028D" w:rsidTr="002730B7">
        <w:trPr>
          <w:trHeight w:val="600"/>
        </w:trPr>
        <w:tc>
          <w:tcPr>
            <w:tcW w:w="1548" w:type="dxa"/>
            <w:vMerge w:val="restart"/>
            <w:tcBorders>
              <w:top w:val="single" w:sz="4" w:space="0" w:color="auto"/>
              <w:left w:val="single" w:sz="4" w:space="0" w:color="auto"/>
              <w:right w:val="single" w:sz="4" w:space="0" w:color="auto"/>
            </w:tcBorders>
            <w:shd w:val="clear" w:color="auto" w:fill="auto"/>
            <w:hideMark/>
          </w:tcPr>
          <w:p w:rsidR="009C631D" w:rsidRPr="0043163C" w:rsidRDefault="00C51977" w:rsidP="009C631D">
            <w:pPr>
              <w:spacing w:after="0" w:line="240" w:lineRule="auto"/>
              <w:rPr>
                <w:rFonts w:eastAsia="Times New Roman" w:cs="Calibri"/>
                <w:color w:val="000000"/>
                <w:lang w:eastAsia="en-AU"/>
              </w:rPr>
            </w:pPr>
            <w:r>
              <w:rPr>
                <w:rFonts w:eastAsia="Times New Roman" w:cs="Calibri"/>
                <w:color w:val="000000"/>
                <w:lang w:eastAsia="en-AU"/>
              </w:rPr>
              <w:t>Software engineering principles in FHIR</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9C631D" w:rsidRPr="0043163C" w:rsidRDefault="002C7FA0" w:rsidP="002C7FA0">
            <w:pPr>
              <w:spacing w:after="0" w:line="240" w:lineRule="auto"/>
              <w:rPr>
                <w:rFonts w:eastAsia="Times New Roman" w:cs="Calibri"/>
                <w:color w:val="000000"/>
                <w:lang w:eastAsia="en-AU"/>
              </w:rPr>
            </w:pPr>
            <w:r>
              <w:rPr>
                <w:rFonts w:eastAsia="Times New Roman" w:cs="Calibri"/>
                <w:color w:val="000000"/>
                <w:lang w:eastAsia="en-AU"/>
              </w:rPr>
              <w:t>How Resources map to object-oriented design principles.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r>
      <w:tr w:rsidR="009C631D" w:rsidRPr="00D6028D" w:rsidTr="002730B7">
        <w:trPr>
          <w:trHeight w:val="839"/>
        </w:trPr>
        <w:tc>
          <w:tcPr>
            <w:tcW w:w="1548" w:type="dxa"/>
            <w:vMerge/>
            <w:tcBorders>
              <w:left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9C631D" w:rsidRPr="0043163C" w:rsidRDefault="002C7FA0" w:rsidP="002C7FA0">
            <w:pPr>
              <w:spacing w:after="0" w:line="240" w:lineRule="auto"/>
              <w:rPr>
                <w:rFonts w:eastAsia="Times New Roman" w:cs="Calibri"/>
                <w:color w:val="000000"/>
                <w:lang w:eastAsia="en-AU"/>
              </w:rPr>
            </w:pPr>
            <w:r>
              <w:rPr>
                <w:rFonts w:eastAsia="Times New Roman" w:cs="Calibri"/>
                <w:color w:val="000000"/>
                <w:lang w:eastAsia="en-AU"/>
              </w:rPr>
              <w:t xml:space="preserve">Deconstructing FHIR data into bundles, resources, </w:t>
            </w:r>
            <w:proofErr w:type="spellStart"/>
            <w:r>
              <w:rPr>
                <w:rFonts w:eastAsia="Times New Roman" w:cs="Calibri"/>
                <w:color w:val="000000"/>
                <w:lang w:eastAsia="en-AU"/>
              </w:rPr>
              <w:t>datatypes</w:t>
            </w:r>
            <w:proofErr w:type="spellEnd"/>
            <w:r>
              <w:rPr>
                <w:rFonts w:eastAsia="Times New Roman" w:cs="Calibri"/>
                <w:color w:val="000000"/>
                <w:lang w:eastAsia="en-AU"/>
              </w:rPr>
              <w:t xml:space="preserve"> and primitives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A72D5" w:rsidP="009A72D5">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BE57B5" w:rsidP="009C631D">
            <w:pPr>
              <w:spacing w:after="0" w:line="240" w:lineRule="auto"/>
              <w:rPr>
                <w:rFonts w:eastAsia="Times New Roman" w:cs="Calibri"/>
                <w:color w:val="000000"/>
                <w:lang w:eastAsia="en-AU"/>
              </w:rPr>
            </w:pPr>
            <w:r>
              <w:rPr>
                <w:rFonts w:eastAsia="Times New Roman" w:cs="Calibri"/>
                <w:color w:val="000000"/>
                <w:lang w:eastAsia="en-AU"/>
              </w:rPr>
              <w:t xml:space="preserve">FHIR Xml, </w:t>
            </w:r>
            <w:proofErr w:type="spellStart"/>
            <w:r>
              <w:rPr>
                <w:rFonts w:eastAsia="Times New Roman" w:cs="Calibri"/>
                <w:color w:val="000000"/>
                <w:lang w:eastAsia="en-AU"/>
              </w:rPr>
              <w:t>Datatypes</w:t>
            </w:r>
            <w:proofErr w:type="spellEnd"/>
          </w:p>
        </w:tc>
      </w:tr>
      <w:tr w:rsidR="009C631D" w:rsidRPr="00D6028D" w:rsidTr="00265E03">
        <w:trPr>
          <w:trHeight w:val="300"/>
        </w:trPr>
        <w:tc>
          <w:tcPr>
            <w:tcW w:w="1548" w:type="dxa"/>
            <w:vMerge/>
            <w:tcBorders>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9C631D" w:rsidRPr="0043163C" w:rsidRDefault="00C51977" w:rsidP="009C631D">
            <w:pPr>
              <w:spacing w:after="0" w:line="240" w:lineRule="auto"/>
              <w:rPr>
                <w:rFonts w:eastAsia="Times New Roman" w:cs="Calibri"/>
                <w:color w:val="000000"/>
                <w:lang w:eastAsia="en-AU"/>
              </w:rPr>
            </w:pPr>
            <w:r>
              <w:rPr>
                <w:rFonts w:eastAsia="Times New Roman" w:cs="Calibri"/>
                <w:color w:val="000000"/>
                <w:lang w:eastAsia="en-AU"/>
              </w:rPr>
              <w:t>A quick tour of the resources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BE57B5" w:rsidP="009C631D">
            <w:pPr>
              <w:spacing w:after="0" w:line="240" w:lineRule="auto"/>
              <w:rPr>
                <w:rFonts w:eastAsia="Times New Roman" w:cs="Calibri"/>
                <w:color w:val="000000"/>
                <w:lang w:eastAsia="en-AU"/>
              </w:rPr>
            </w:pPr>
            <w:r>
              <w:rPr>
                <w:rFonts w:eastAsia="Times New Roman" w:cs="Calibri"/>
                <w:color w:val="000000"/>
                <w:lang w:eastAsia="en-AU"/>
              </w:rPr>
              <w:t>Resource documentation</w:t>
            </w:r>
          </w:p>
        </w:tc>
      </w:tr>
      <w:tr w:rsidR="00265E03" w:rsidRPr="00D6028D" w:rsidTr="00AB1F8F">
        <w:trPr>
          <w:trHeight w:val="1035"/>
        </w:trPr>
        <w:tc>
          <w:tcPr>
            <w:tcW w:w="1431" w:type="dxa"/>
            <w:vMerge w:val="restart"/>
            <w:tcBorders>
              <w:top w:val="single" w:sz="4" w:space="0" w:color="auto"/>
              <w:left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r>
              <w:rPr>
                <w:rFonts w:eastAsia="Times New Roman" w:cs="Calibri"/>
                <w:color w:val="000000"/>
                <w:lang w:eastAsia="en-AU"/>
              </w:rPr>
              <w:t>The REST service interface</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265E03" w:rsidRPr="0043163C" w:rsidRDefault="00CD23B5" w:rsidP="009C631D">
            <w:pPr>
              <w:spacing w:after="0" w:line="240" w:lineRule="auto"/>
              <w:rPr>
                <w:rFonts w:eastAsia="Times New Roman" w:cs="Calibri"/>
                <w:color w:val="000000"/>
                <w:lang w:eastAsia="en-AU"/>
              </w:rPr>
            </w:pPr>
            <w:r>
              <w:rPr>
                <w:rFonts w:eastAsia="Times New Roman" w:cs="Calibri"/>
                <w:color w:val="000000"/>
                <w:lang w:eastAsia="en-AU"/>
              </w:rPr>
              <w:t>The REST operations: CRUD, versioning, URL’s and references.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000D21"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r>
              <w:rPr>
                <w:rFonts w:eastAsia="Times New Roman" w:cs="Calibri"/>
                <w:color w:val="000000"/>
                <w:lang w:eastAsia="en-AU"/>
              </w:rPr>
              <w:t>REST specification</w:t>
            </w:r>
          </w:p>
        </w:tc>
      </w:tr>
      <w:tr w:rsidR="00265E03" w:rsidRPr="00D6028D" w:rsidTr="00265E03">
        <w:trPr>
          <w:trHeight w:val="646"/>
        </w:trPr>
        <w:tc>
          <w:tcPr>
            <w:tcW w:w="1548" w:type="dxa"/>
            <w:vMerge/>
            <w:tcBorders>
              <w:left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265E03" w:rsidRPr="0043163C" w:rsidRDefault="00CD23B5" w:rsidP="002C7FA0">
            <w:pPr>
              <w:spacing w:after="0" w:line="240" w:lineRule="auto"/>
              <w:rPr>
                <w:rFonts w:eastAsia="Times New Roman" w:cs="Calibri"/>
                <w:color w:val="000000"/>
                <w:lang w:eastAsia="en-AU"/>
              </w:rPr>
            </w:pPr>
            <w:r>
              <w:rPr>
                <w:rFonts w:eastAsia="Times New Roman" w:cs="Calibri"/>
                <w:color w:val="000000"/>
                <w:lang w:eastAsia="en-AU"/>
              </w:rPr>
              <w:t>Mapping to HTTP methods headers and results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p>
        </w:tc>
      </w:tr>
      <w:tr w:rsidR="00265E03" w:rsidRPr="00D6028D" w:rsidTr="00265E03">
        <w:trPr>
          <w:trHeight w:val="300"/>
        </w:trPr>
        <w:tc>
          <w:tcPr>
            <w:tcW w:w="1548" w:type="dxa"/>
            <w:vMerge/>
            <w:tcBorders>
              <w:left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265E03" w:rsidRPr="0043163C" w:rsidRDefault="00265E03" w:rsidP="002C7FA0">
            <w:pPr>
              <w:spacing w:after="0" w:line="240" w:lineRule="auto"/>
              <w:rPr>
                <w:rFonts w:eastAsia="Times New Roman" w:cs="Calibri"/>
                <w:color w:val="000000"/>
                <w:lang w:eastAsia="en-AU"/>
              </w:rPr>
            </w:pPr>
            <w:r>
              <w:rPr>
                <w:rFonts w:eastAsia="Times New Roman" w:cs="Calibri"/>
                <w:color w:val="000000"/>
                <w:lang w:eastAsia="en-AU"/>
              </w:rPr>
              <w:t>Bundles, Messages, Documents and the different interoperability paradigms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CD23B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265E03" w:rsidRPr="0043163C" w:rsidRDefault="00265E03" w:rsidP="009C631D">
            <w:pPr>
              <w:spacing w:after="0" w:line="240" w:lineRule="auto"/>
              <w:rPr>
                <w:rFonts w:eastAsia="Times New Roman" w:cs="Calibri"/>
                <w:color w:val="000000"/>
                <w:lang w:eastAsia="en-AU"/>
              </w:rPr>
            </w:pPr>
          </w:p>
        </w:tc>
      </w:tr>
      <w:tr w:rsidR="00265E03" w:rsidRPr="00D6028D" w:rsidTr="00265E03">
        <w:trPr>
          <w:trHeight w:val="300"/>
        </w:trPr>
        <w:tc>
          <w:tcPr>
            <w:tcW w:w="1548" w:type="dxa"/>
            <w:vMerge/>
            <w:tcBorders>
              <w:left w:val="single" w:sz="4" w:space="0" w:color="auto"/>
              <w:bottom w:val="single" w:sz="4" w:space="0" w:color="auto"/>
              <w:right w:val="single" w:sz="4" w:space="0" w:color="auto"/>
            </w:tcBorders>
            <w:shd w:val="clear" w:color="auto" w:fill="auto"/>
          </w:tcPr>
          <w:p w:rsidR="00265E03" w:rsidRPr="0043163C" w:rsidRDefault="00265E03"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265E03" w:rsidRDefault="00265E03" w:rsidP="00265E03">
            <w:pPr>
              <w:spacing w:after="0" w:line="240" w:lineRule="auto"/>
              <w:rPr>
                <w:rFonts w:eastAsia="Times New Roman" w:cs="Calibri"/>
                <w:color w:val="000000"/>
                <w:lang w:eastAsia="en-AU"/>
              </w:rPr>
            </w:pPr>
            <w:r>
              <w:rPr>
                <w:rFonts w:eastAsia="Times New Roman" w:cs="Calibri"/>
                <w:color w:val="000000"/>
                <w:lang w:eastAsia="en-AU"/>
              </w:rPr>
              <w:t>Providing and consuming conformance profiles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65E03" w:rsidRPr="0043163C" w:rsidRDefault="00000D21"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65E03" w:rsidRPr="0043163C" w:rsidRDefault="00265E03" w:rsidP="009C631D">
            <w:pPr>
              <w:spacing w:after="0" w:line="240" w:lineRule="auto"/>
              <w:rPr>
                <w:rFonts w:eastAsia="Times New Roman" w:cs="Calibri"/>
                <w:color w:val="000000"/>
                <w:lang w:eastAsia="en-AU"/>
              </w:rPr>
            </w:pPr>
          </w:p>
        </w:tc>
      </w:tr>
      <w:tr w:rsidR="00AB1F8F" w:rsidRPr="00D6028D" w:rsidTr="00265E03">
        <w:trPr>
          <w:trHeight w:val="600"/>
        </w:trPr>
        <w:tc>
          <w:tcPr>
            <w:tcW w:w="1548" w:type="dxa"/>
            <w:vMerge w:val="restart"/>
            <w:tcBorders>
              <w:top w:val="single" w:sz="4" w:space="0" w:color="auto"/>
              <w:left w:val="single" w:sz="4" w:space="0" w:color="auto"/>
              <w:right w:val="single" w:sz="4" w:space="0" w:color="auto"/>
            </w:tcBorders>
            <w:shd w:val="clear" w:color="auto" w:fill="auto"/>
            <w:hideMark/>
          </w:tcPr>
          <w:p w:rsidR="00AB1F8F" w:rsidRPr="0043163C" w:rsidRDefault="00AB1F8F" w:rsidP="00B05D6D">
            <w:pPr>
              <w:spacing w:after="0" w:line="240" w:lineRule="auto"/>
              <w:rPr>
                <w:rFonts w:eastAsia="Times New Roman" w:cs="Calibri"/>
                <w:color w:val="000000"/>
                <w:lang w:eastAsia="en-AU"/>
              </w:rPr>
            </w:pPr>
            <w:r>
              <w:rPr>
                <w:rFonts w:eastAsia="Times New Roman" w:cs="Calibri"/>
                <w:color w:val="000000"/>
                <w:lang w:eastAsia="en-AU"/>
              </w:rPr>
              <w:t>Serialization</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AB1F8F" w:rsidRPr="0043163C" w:rsidRDefault="00AB1F8F" w:rsidP="00B05D6D">
            <w:pPr>
              <w:spacing w:after="0" w:line="240" w:lineRule="auto"/>
              <w:rPr>
                <w:rFonts w:eastAsia="Times New Roman" w:cs="Calibri"/>
                <w:color w:val="000000"/>
                <w:lang w:eastAsia="en-AU"/>
              </w:rPr>
            </w:pPr>
            <w:r>
              <w:rPr>
                <w:rFonts w:eastAsia="Times New Roman" w:cs="Calibri"/>
                <w:color w:val="000000"/>
                <w:lang w:eastAsia="en-AU"/>
              </w:rPr>
              <w:t>How FHIR uses Xml, JSON and Atom</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000D21"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AB1F8F" w:rsidP="009C631D">
            <w:pPr>
              <w:spacing w:after="0" w:line="240" w:lineRule="auto"/>
              <w:rPr>
                <w:rFonts w:eastAsia="Times New Roman" w:cs="Calibri"/>
                <w:color w:val="000000"/>
                <w:lang w:eastAsia="en-AU"/>
              </w:rPr>
            </w:pPr>
          </w:p>
        </w:tc>
      </w:tr>
      <w:tr w:rsidR="00AB1F8F" w:rsidRPr="00D6028D" w:rsidTr="00265E03">
        <w:trPr>
          <w:trHeight w:val="315"/>
        </w:trPr>
        <w:tc>
          <w:tcPr>
            <w:tcW w:w="1548" w:type="dxa"/>
            <w:vMerge/>
            <w:tcBorders>
              <w:left w:val="single" w:sz="4" w:space="0" w:color="auto"/>
              <w:right w:val="single" w:sz="4" w:space="0" w:color="auto"/>
            </w:tcBorders>
            <w:shd w:val="clear" w:color="auto" w:fill="auto"/>
            <w:hideMark/>
          </w:tcPr>
          <w:p w:rsidR="00AB1F8F" w:rsidRPr="0043163C" w:rsidRDefault="00AB1F8F"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AB1F8F" w:rsidRPr="002C7FA0" w:rsidRDefault="00AB1F8F" w:rsidP="00BE57B5">
            <w:pPr>
              <w:spacing w:after="0" w:line="240" w:lineRule="auto"/>
            </w:pPr>
            <w:r>
              <w:t xml:space="preserve">Designing in-memory object models for Resources and </w:t>
            </w:r>
            <w:proofErr w:type="spellStart"/>
            <w:r>
              <w:t>datatypes</w:t>
            </w:r>
            <w:proofErr w:type="spellEnd"/>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AB1F8F" w:rsidP="00B05D6D">
            <w:pPr>
              <w:spacing w:after="0" w:line="240" w:lineRule="auto"/>
              <w:rPr>
                <w:rFonts w:eastAsia="Times New Roman" w:cs="Calibri"/>
                <w:color w:val="000000"/>
                <w:lang w:eastAsia="en-AU"/>
              </w:rPr>
            </w:pPr>
            <w:r>
              <w:rPr>
                <w:rFonts w:eastAsia="Times New Roman" w:cs="Calibri"/>
                <w:color w:val="000000"/>
                <w:lang w:eastAsia="en-AU"/>
              </w:rPr>
              <w:t>The C# and Java reference implementations in the distribution</w:t>
            </w:r>
          </w:p>
        </w:tc>
      </w:tr>
      <w:tr w:rsidR="00AB1F8F" w:rsidRPr="00D6028D" w:rsidTr="00265E03">
        <w:trPr>
          <w:trHeight w:val="300"/>
        </w:trPr>
        <w:tc>
          <w:tcPr>
            <w:tcW w:w="1548" w:type="dxa"/>
            <w:vMerge/>
            <w:tcBorders>
              <w:left w:val="single" w:sz="4" w:space="0" w:color="auto"/>
              <w:right w:val="single" w:sz="4" w:space="0" w:color="auto"/>
            </w:tcBorders>
            <w:shd w:val="clear" w:color="auto" w:fill="auto"/>
            <w:hideMark/>
          </w:tcPr>
          <w:p w:rsidR="00AB1F8F" w:rsidRPr="0043163C" w:rsidRDefault="00AB1F8F"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AB1F8F" w:rsidP="00BE57B5">
            <w:pPr>
              <w:spacing w:after="0" w:line="240" w:lineRule="auto"/>
              <w:rPr>
                <w:rFonts w:eastAsia="Times New Roman" w:cs="Calibri"/>
                <w:color w:val="000000"/>
                <w:lang w:eastAsia="en-AU"/>
              </w:rPr>
            </w:pPr>
            <w:r>
              <w:rPr>
                <w:rFonts w:eastAsia="Times New Roman" w:cs="Calibri"/>
                <w:color w:val="000000"/>
                <w:lang w:eastAsia="en-AU"/>
              </w:rPr>
              <w:t>(De)serialization and the how to use the reference API’s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hideMark/>
          </w:tcPr>
          <w:p w:rsidR="00AB1F8F" w:rsidRPr="0043163C" w:rsidRDefault="00AB1F8F" w:rsidP="009C631D">
            <w:pPr>
              <w:spacing w:after="0" w:line="240" w:lineRule="auto"/>
              <w:rPr>
                <w:rFonts w:eastAsia="Times New Roman" w:cs="Calibri"/>
                <w:color w:val="000000"/>
                <w:lang w:eastAsia="en-AU"/>
              </w:rPr>
            </w:pPr>
            <w:r>
              <w:rPr>
                <w:rFonts w:eastAsia="Times New Roman" w:cs="Calibri"/>
                <w:color w:val="000000"/>
                <w:lang w:eastAsia="en-AU"/>
              </w:rPr>
              <w:t>The C# and Java reference implementations in the distribution</w:t>
            </w:r>
          </w:p>
        </w:tc>
      </w:tr>
      <w:tr w:rsidR="00AB1F8F" w:rsidRPr="00D6028D" w:rsidTr="00265E03">
        <w:trPr>
          <w:trHeight w:val="300"/>
        </w:trPr>
        <w:tc>
          <w:tcPr>
            <w:tcW w:w="1548" w:type="dxa"/>
            <w:vMerge/>
            <w:tcBorders>
              <w:left w:val="single" w:sz="4" w:space="0" w:color="auto"/>
              <w:bottom w:val="single" w:sz="4" w:space="0" w:color="auto"/>
              <w:right w:val="single" w:sz="4" w:space="0" w:color="auto"/>
            </w:tcBorders>
            <w:shd w:val="clear" w:color="auto" w:fill="auto"/>
          </w:tcPr>
          <w:p w:rsidR="00AB1F8F" w:rsidRPr="0043163C" w:rsidRDefault="00AB1F8F"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AB1F8F" w:rsidRDefault="00AB1F8F" w:rsidP="00BE57B5">
            <w:pPr>
              <w:spacing w:after="0" w:line="240" w:lineRule="auto"/>
              <w:rPr>
                <w:rFonts w:eastAsia="Times New Roman" w:cs="Calibri"/>
                <w:color w:val="000000"/>
                <w:lang w:eastAsia="en-AU"/>
              </w:rPr>
            </w:pPr>
            <w:r>
              <w:rPr>
                <w:rFonts w:eastAsia="Times New Roman" w:cs="Calibri"/>
                <w:color w:val="000000"/>
                <w:lang w:eastAsia="en-AU"/>
              </w:rPr>
              <w:t>Handling extensions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AB1F8F" w:rsidRPr="0043163C" w:rsidRDefault="00CD23B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AB1F8F" w:rsidRDefault="00AB1F8F" w:rsidP="009C631D">
            <w:pPr>
              <w:spacing w:after="0" w:line="240" w:lineRule="auto"/>
              <w:rPr>
                <w:rFonts w:eastAsia="Times New Roman" w:cs="Calibri"/>
                <w:color w:val="000000"/>
                <w:lang w:eastAsia="en-AU"/>
              </w:rPr>
            </w:pPr>
          </w:p>
        </w:tc>
      </w:tr>
      <w:tr w:rsidR="002730B7" w:rsidRPr="00D6028D" w:rsidTr="00265E03">
        <w:trPr>
          <w:trHeight w:val="300"/>
        </w:trPr>
        <w:tc>
          <w:tcPr>
            <w:tcW w:w="1548" w:type="dxa"/>
            <w:vMerge w:val="restart"/>
            <w:tcBorders>
              <w:top w:val="single" w:sz="4" w:space="0" w:color="auto"/>
              <w:left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r>
              <w:rPr>
                <w:rFonts w:eastAsia="Times New Roman" w:cs="Calibri"/>
                <w:color w:val="000000"/>
                <w:lang w:eastAsia="en-AU"/>
              </w:rPr>
              <w:t>FHIR models</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2730B7">
            <w:pPr>
              <w:spacing w:after="0" w:line="240" w:lineRule="auto"/>
              <w:rPr>
                <w:rFonts w:eastAsia="Times New Roman" w:cs="Calibri"/>
                <w:color w:val="000000"/>
                <w:lang w:eastAsia="en-AU"/>
              </w:rPr>
            </w:pPr>
            <w:r>
              <w:rPr>
                <w:rFonts w:eastAsia="Times New Roman" w:cs="Calibri"/>
                <w:color w:val="000000"/>
                <w:lang w:eastAsia="en-AU"/>
              </w:rPr>
              <w:t>Content of a Resource specification</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CD23B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r>
              <w:rPr>
                <w:rFonts w:eastAsia="Times New Roman" w:cs="Calibri"/>
                <w:color w:val="000000"/>
                <w:lang w:eastAsia="en-AU"/>
              </w:rPr>
              <w:t>A Resource XLS</w:t>
            </w:r>
          </w:p>
        </w:tc>
      </w:tr>
      <w:tr w:rsidR="002730B7" w:rsidRPr="00D6028D" w:rsidTr="00265E03">
        <w:trPr>
          <w:trHeight w:val="300"/>
        </w:trPr>
        <w:tc>
          <w:tcPr>
            <w:tcW w:w="1548" w:type="dxa"/>
            <w:vMerge/>
            <w:tcBorders>
              <w:left w:val="single" w:sz="4" w:space="0" w:color="auto"/>
              <w:right w:val="single" w:sz="4" w:space="0" w:color="auto"/>
            </w:tcBorders>
            <w:shd w:val="clear" w:color="auto" w:fill="auto"/>
          </w:tcPr>
          <w:p w:rsidR="002730B7" w:rsidRPr="0043163C" w:rsidRDefault="002730B7"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2730B7">
            <w:pPr>
              <w:spacing w:after="0" w:line="240" w:lineRule="auto"/>
              <w:rPr>
                <w:rFonts w:eastAsia="Times New Roman" w:cs="Calibri"/>
                <w:color w:val="000000"/>
                <w:lang w:eastAsia="en-AU"/>
              </w:rPr>
            </w:pPr>
            <w:r>
              <w:rPr>
                <w:rFonts w:eastAsia="Times New Roman" w:cs="Calibri"/>
                <w:color w:val="000000"/>
                <w:lang w:eastAsia="en-AU"/>
              </w:rPr>
              <w:t xml:space="preserve">Using FHIR model </w:t>
            </w:r>
            <w:proofErr w:type="spellStart"/>
            <w:r>
              <w:rPr>
                <w:rFonts w:eastAsia="Times New Roman" w:cs="Calibri"/>
                <w:color w:val="000000"/>
                <w:lang w:eastAsia="en-AU"/>
              </w:rPr>
              <w:t>artifacts</w:t>
            </w:r>
            <w:proofErr w:type="spellEnd"/>
            <w:r>
              <w:rPr>
                <w:rFonts w:eastAsia="Times New Roman" w:cs="Calibri"/>
                <w:color w:val="000000"/>
                <w:lang w:eastAsia="en-AU"/>
              </w:rPr>
              <w:t xml:space="preserve"> in software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p>
        </w:tc>
      </w:tr>
      <w:tr w:rsidR="002730B7" w:rsidRPr="00D6028D" w:rsidTr="00265E03">
        <w:trPr>
          <w:trHeight w:val="300"/>
        </w:trPr>
        <w:tc>
          <w:tcPr>
            <w:tcW w:w="1548" w:type="dxa"/>
            <w:vMerge/>
            <w:tcBorders>
              <w:left w:val="single" w:sz="4" w:space="0" w:color="auto"/>
              <w:bottom w:val="single" w:sz="4" w:space="0" w:color="auto"/>
              <w:right w:val="single" w:sz="4" w:space="0" w:color="auto"/>
            </w:tcBorders>
            <w:shd w:val="clear" w:color="auto" w:fill="auto"/>
          </w:tcPr>
          <w:p w:rsidR="002730B7" w:rsidRPr="0043163C" w:rsidRDefault="002730B7"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2730B7">
            <w:pPr>
              <w:spacing w:after="0" w:line="240" w:lineRule="auto"/>
              <w:rPr>
                <w:rFonts w:eastAsia="Times New Roman" w:cs="Calibri"/>
                <w:color w:val="000000"/>
                <w:lang w:eastAsia="en-AU"/>
              </w:rPr>
            </w:pPr>
            <w:r>
              <w:rPr>
                <w:rFonts w:eastAsia="Times New Roman" w:cs="Calibri"/>
                <w:color w:val="000000"/>
                <w:lang w:eastAsia="en-AU"/>
              </w:rPr>
              <w:t>Validation</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r>
              <w:rPr>
                <w:rFonts w:eastAsia="Times New Roman" w:cs="Calibri"/>
                <w:color w:val="000000"/>
                <w:lang w:eastAsia="en-AU"/>
              </w:rPr>
              <w:t>Example: and XSD schema</w:t>
            </w:r>
          </w:p>
        </w:tc>
      </w:tr>
      <w:tr w:rsidR="002730B7" w:rsidRPr="00D6028D" w:rsidTr="00265E03">
        <w:trPr>
          <w:trHeight w:val="300"/>
        </w:trPr>
        <w:tc>
          <w:tcPr>
            <w:tcW w:w="1548" w:type="dxa"/>
            <w:vMerge w:val="restart"/>
            <w:tcBorders>
              <w:top w:val="single" w:sz="4" w:space="0" w:color="auto"/>
              <w:left w:val="single" w:sz="4" w:space="0" w:color="auto"/>
              <w:right w:val="single" w:sz="4" w:space="0" w:color="auto"/>
            </w:tcBorders>
            <w:shd w:val="clear" w:color="auto" w:fill="auto"/>
          </w:tcPr>
          <w:p w:rsidR="002730B7" w:rsidRPr="0043163C" w:rsidRDefault="002730B7" w:rsidP="009C631D">
            <w:pPr>
              <w:spacing w:after="0" w:line="240" w:lineRule="auto"/>
              <w:rPr>
                <w:rFonts w:eastAsia="Times New Roman" w:cs="Calibri"/>
                <w:color w:val="000000"/>
                <w:lang w:eastAsia="en-AU"/>
              </w:rPr>
            </w:pPr>
            <w:r>
              <w:rPr>
                <w:rFonts w:eastAsia="Times New Roman" w:cs="Calibri"/>
                <w:color w:val="000000"/>
                <w:lang w:eastAsia="en-AU"/>
              </w:rPr>
              <w:t>Persistence</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65E03" w:rsidP="00265E03">
            <w:pPr>
              <w:spacing w:after="0" w:line="240" w:lineRule="auto"/>
              <w:rPr>
                <w:rFonts w:eastAsia="Times New Roman" w:cs="Calibri"/>
                <w:color w:val="000000"/>
                <w:lang w:eastAsia="en-AU"/>
              </w:rPr>
            </w:pPr>
            <w:r>
              <w:rPr>
                <w:rFonts w:eastAsia="Times New Roman" w:cs="Calibri"/>
                <w:color w:val="000000"/>
                <w:lang w:eastAsia="en-AU"/>
              </w:rPr>
              <w:t xml:space="preserve">What do I need </w:t>
            </w:r>
            <w:r w:rsidR="002730B7">
              <w:rPr>
                <w:rFonts w:eastAsia="Times New Roman" w:cs="Calibri"/>
                <w:color w:val="000000"/>
                <w:lang w:eastAsia="en-AU"/>
              </w:rPr>
              <w:t>for storage, versioning and search</w:t>
            </w:r>
            <w:r>
              <w:rPr>
                <w:rFonts w:eastAsia="Times New Roman" w:cs="Calibri"/>
                <w:color w:val="000000"/>
                <w:lang w:eastAsia="en-AU"/>
              </w:rPr>
              <w:t>?</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p>
        </w:tc>
      </w:tr>
      <w:tr w:rsidR="002730B7" w:rsidRPr="00D6028D" w:rsidTr="00E8465F">
        <w:trPr>
          <w:trHeight w:val="300"/>
        </w:trPr>
        <w:tc>
          <w:tcPr>
            <w:tcW w:w="1548" w:type="dxa"/>
            <w:vMerge/>
            <w:tcBorders>
              <w:left w:val="single" w:sz="4" w:space="0" w:color="auto"/>
              <w:right w:val="single" w:sz="4" w:space="0" w:color="auto"/>
            </w:tcBorders>
            <w:shd w:val="clear" w:color="auto" w:fill="auto"/>
          </w:tcPr>
          <w:p w:rsidR="002730B7" w:rsidRPr="0043163C" w:rsidRDefault="002730B7"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2730B7">
            <w:pPr>
              <w:spacing w:after="0" w:line="240" w:lineRule="auto"/>
              <w:rPr>
                <w:rFonts w:eastAsia="Times New Roman" w:cs="Calibri"/>
                <w:color w:val="000000"/>
                <w:lang w:eastAsia="en-AU"/>
              </w:rPr>
            </w:pPr>
            <w:r>
              <w:rPr>
                <w:rFonts w:eastAsia="Times New Roman" w:cs="Calibri"/>
                <w:color w:val="000000"/>
                <w:lang w:eastAsia="en-AU"/>
              </w:rPr>
              <w:t>Using document-oriented storage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B05D6D">
            <w:pPr>
              <w:spacing w:after="0" w:line="240" w:lineRule="auto"/>
              <w:rPr>
                <w:rFonts w:eastAsia="Times New Roman" w:cs="Calibri"/>
                <w:color w:val="000000"/>
                <w:lang w:eastAsia="en-AU"/>
              </w:rPr>
            </w:pPr>
            <w:r>
              <w:rPr>
                <w:rFonts w:eastAsia="Times New Roman" w:cs="Calibri"/>
                <w:color w:val="000000"/>
                <w:lang w:eastAsia="en-AU"/>
              </w:rPr>
              <w:t xml:space="preserve">Example: </w:t>
            </w:r>
            <w:proofErr w:type="spellStart"/>
            <w:r>
              <w:rPr>
                <w:rFonts w:eastAsia="Times New Roman" w:cs="Calibri"/>
                <w:color w:val="000000"/>
                <w:lang w:eastAsia="en-AU"/>
              </w:rPr>
              <w:t>MongoDb</w:t>
            </w:r>
            <w:proofErr w:type="spellEnd"/>
          </w:p>
        </w:tc>
      </w:tr>
      <w:tr w:rsidR="002730B7" w:rsidRPr="00D6028D" w:rsidTr="00E8465F">
        <w:trPr>
          <w:trHeight w:val="300"/>
        </w:trPr>
        <w:tc>
          <w:tcPr>
            <w:tcW w:w="1548" w:type="dxa"/>
            <w:vMerge/>
            <w:tcBorders>
              <w:left w:val="single" w:sz="4" w:space="0" w:color="auto"/>
              <w:bottom w:val="single" w:sz="4" w:space="0" w:color="auto"/>
              <w:right w:val="single" w:sz="4" w:space="0" w:color="auto"/>
            </w:tcBorders>
            <w:shd w:val="clear" w:color="auto" w:fill="auto"/>
          </w:tcPr>
          <w:p w:rsidR="002730B7" w:rsidRPr="0043163C" w:rsidRDefault="002730B7"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2730B7">
            <w:pPr>
              <w:spacing w:after="0" w:line="240" w:lineRule="auto"/>
              <w:rPr>
                <w:rFonts w:eastAsia="Times New Roman" w:cs="Calibri"/>
                <w:color w:val="000000"/>
                <w:lang w:eastAsia="en-AU"/>
              </w:rPr>
            </w:pPr>
            <w:r>
              <w:rPr>
                <w:rFonts w:eastAsia="Times New Roman" w:cs="Calibri"/>
                <w:color w:val="000000"/>
                <w:lang w:eastAsia="en-AU"/>
              </w:rPr>
              <w:t>Using a relational DBMS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730B7"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730B7" w:rsidRDefault="002730B7" w:rsidP="009C631D">
            <w:pPr>
              <w:spacing w:after="0" w:line="240" w:lineRule="auto"/>
              <w:rPr>
                <w:rFonts w:eastAsia="Times New Roman" w:cs="Calibri"/>
                <w:color w:val="000000"/>
                <w:lang w:eastAsia="en-AU"/>
              </w:rPr>
            </w:pPr>
            <w:r>
              <w:rPr>
                <w:rFonts w:eastAsia="Times New Roman" w:cs="Calibri"/>
                <w:color w:val="000000"/>
                <w:lang w:eastAsia="en-AU"/>
              </w:rPr>
              <w:t xml:space="preserve">Example: </w:t>
            </w:r>
            <w:proofErr w:type="spellStart"/>
            <w:r>
              <w:rPr>
                <w:rFonts w:eastAsia="Times New Roman" w:cs="Calibri"/>
                <w:color w:val="000000"/>
                <w:lang w:eastAsia="en-AU"/>
              </w:rPr>
              <w:t>Sql</w:t>
            </w:r>
            <w:proofErr w:type="spellEnd"/>
            <w:r>
              <w:rPr>
                <w:rFonts w:eastAsia="Times New Roman" w:cs="Calibri"/>
                <w:color w:val="000000"/>
                <w:lang w:eastAsia="en-AU"/>
              </w:rPr>
              <w:t xml:space="preserve"> Server</w:t>
            </w:r>
          </w:p>
        </w:tc>
      </w:tr>
      <w:tr w:rsidR="00265E03" w:rsidRPr="00D6028D" w:rsidTr="00CD23B5">
        <w:trPr>
          <w:trHeight w:val="300"/>
        </w:trPr>
        <w:tc>
          <w:tcPr>
            <w:tcW w:w="1548" w:type="dxa"/>
            <w:tcBorders>
              <w:left w:val="single" w:sz="4" w:space="0" w:color="auto"/>
              <w:right w:val="single" w:sz="4" w:space="0" w:color="auto"/>
            </w:tcBorders>
            <w:shd w:val="clear" w:color="auto" w:fill="auto"/>
          </w:tcPr>
          <w:p w:rsidR="00265E03" w:rsidRPr="0043163C" w:rsidRDefault="00CD23B5" w:rsidP="009C631D">
            <w:pPr>
              <w:spacing w:after="0" w:line="240" w:lineRule="auto"/>
              <w:rPr>
                <w:rFonts w:eastAsia="Times New Roman" w:cs="Calibri"/>
                <w:color w:val="000000"/>
                <w:lang w:eastAsia="en-AU"/>
              </w:rPr>
            </w:pPr>
            <w:r>
              <w:rPr>
                <w:rFonts w:eastAsia="Times New Roman" w:cs="Calibri"/>
                <w:color w:val="000000"/>
                <w:lang w:eastAsia="en-AU"/>
              </w:rPr>
              <w:t>Wrap up</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65E03" w:rsidRDefault="00CD23B5" w:rsidP="00CD23B5">
            <w:pPr>
              <w:spacing w:after="0" w:line="240" w:lineRule="auto"/>
              <w:rPr>
                <w:rFonts w:eastAsia="Times New Roman" w:cs="Calibri"/>
                <w:color w:val="000000"/>
                <w:lang w:eastAsia="en-AU"/>
              </w:rPr>
            </w:pPr>
            <w:r>
              <w:rPr>
                <w:rFonts w:eastAsia="Times New Roman" w:cs="Calibri"/>
                <w:color w:val="000000"/>
                <w:lang w:eastAsia="en-AU"/>
              </w:rPr>
              <w:t>Combining the parts: overview of a complete FHIR service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265E03"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11" w:type="dxa"/>
            <w:tcBorders>
              <w:top w:val="single" w:sz="4" w:space="0" w:color="auto"/>
              <w:left w:val="single" w:sz="4" w:space="0" w:color="auto"/>
              <w:bottom w:val="single" w:sz="4" w:space="0" w:color="auto"/>
              <w:right w:val="single" w:sz="4" w:space="0" w:color="auto"/>
            </w:tcBorders>
            <w:shd w:val="clear" w:color="auto" w:fill="auto"/>
          </w:tcPr>
          <w:p w:rsidR="00265E03" w:rsidRDefault="00CD23B5" w:rsidP="009C631D">
            <w:pPr>
              <w:spacing w:after="0" w:line="240" w:lineRule="auto"/>
              <w:rPr>
                <w:rFonts w:eastAsia="Times New Roman" w:cs="Calibri"/>
                <w:color w:val="000000"/>
                <w:lang w:eastAsia="en-AU"/>
              </w:rPr>
            </w:pPr>
            <w:r>
              <w:rPr>
                <w:rFonts w:eastAsia="Times New Roman" w:cs="Calibri"/>
                <w:color w:val="000000"/>
                <w:lang w:eastAsia="en-AU"/>
              </w:rPr>
              <w:t>Example: architecture of Spark (C#)</w:t>
            </w:r>
          </w:p>
        </w:tc>
      </w:tr>
      <w:tr w:rsidR="00CD23B5" w:rsidRPr="00D6028D" w:rsidTr="00CD23B5">
        <w:trPr>
          <w:trHeight w:val="300"/>
        </w:trPr>
        <w:tc>
          <w:tcPr>
            <w:tcW w:w="1534" w:type="dxa"/>
            <w:tcBorders>
              <w:left w:val="single" w:sz="4" w:space="0" w:color="auto"/>
              <w:bottom w:val="single" w:sz="4" w:space="0" w:color="auto"/>
              <w:right w:val="single" w:sz="4" w:space="0" w:color="auto"/>
            </w:tcBorders>
            <w:shd w:val="clear" w:color="auto" w:fill="auto"/>
          </w:tcPr>
          <w:p w:rsidR="00CD23B5" w:rsidRDefault="00CD23B5"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CD23B5" w:rsidRDefault="00CD23B5" w:rsidP="00CD23B5">
            <w:pPr>
              <w:spacing w:after="0" w:line="240" w:lineRule="auto"/>
              <w:rPr>
                <w:rFonts w:eastAsia="Times New Roman" w:cs="Calibri"/>
                <w:color w:val="000000"/>
                <w:lang w:eastAsia="en-AU"/>
              </w:rPr>
            </w:pPr>
            <w:r>
              <w:rPr>
                <w:rFonts w:eastAsia="Times New Roman" w:cs="Calibri"/>
                <w:color w:val="000000"/>
                <w:lang w:eastAsia="en-AU"/>
              </w:rPr>
              <w:t>Questions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CD23B5" w:rsidRPr="0043163C" w:rsidRDefault="009A72D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24" w:type="dxa"/>
            <w:tcBorders>
              <w:top w:val="single" w:sz="4" w:space="0" w:color="auto"/>
              <w:left w:val="single" w:sz="4" w:space="0" w:color="auto"/>
              <w:bottom w:val="single" w:sz="4" w:space="0" w:color="auto"/>
              <w:right w:val="single" w:sz="4" w:space="0" w:color="auto"/>
            </w:tcBorders>
            <w:shd w:val="clear" w:color="auto" w:fill="auto"/>
          </w:tcPr>
          <w:p w:rsidR="00CD23B5" w:rsidRDefault="00CD23B5" w:rsidP="009C631D">
            <w:pPr>
              <w:spacing w:after="0" w:line="240" w:lineRule="auto"/>
              <w:rPr>
                <w:rFonts w:eastAsia="Times New Roman" w:cs="Calibri"/>
                <w:color w:val="000000"/>
                <w:lang w:eastAsia="en-AU"/>
              </w:rPr>
            </w:pPr>
          </w:p>
        </w:tc>
      </w:tr>
    </w:tbl>
    <w:p w:rsidR="00592D7A" w:rsidRPr="009C631D" w:rsidRDefault="009C631D" w:rsidP="009C631D">
      <w:pPr>
        <w:pStyle w:val="Heading1"/>
      </w:pPr>
      <w:r>
        <w:br w:type="page"/>
      </w:r>
      <w:r w:rsidR="00592D7A" w:rsidRPr="009C631D">
        <w:lastRenderedPageBreak/>
        <w:t>Training Plan</w:t>
      </w:r>
      <w:r w:rsidR="006A3D6F" w:rsidRPr="009C631D">
        <w:t xml:space="preserve"> </w:t>
      </w:r>
      <w:r>
        <w:t xml:space="preserve"> - Sample</w:t>
      </w:r>
    </w:p>
    <w:p w:rsidR="006A3D6F" w:rsidRDefault="006A3D6F">
      <w:r>
        <w:t>Strategy is to use this training plan for students to critique and provide a blank training plan spreadsheet to support their analysis of their own courses.</w:t>
      </w:r>
    </w:p>
    <w:p w:rsidR="003877D2" w:rsidRDefault="0043163C">
      <w:r>
        <w:t xml:space="preserve">Note:  </w:t>
      </w:r>
      <w:r w:rsidR="003877D2">
        <w:t>Every session (60 minutes or 1.5 hours for quarters of a day) should allow for 15 minutes of questions or ‘settling – arrival / pack up’ time which allows the group to relate and cope with fast and slow learners who have additional questions or needs.</w:t>
      </w:r>
    </w:p>
    <w:p w:rsidR="0043163C" w:rsidRDefault="003877D2">
      <w:r>
        <w:t>Overhead materials:  one slide every 2 minutes is generally considered a fast pace,  often too fast for people to take in information.   For a 1.5 hour presentation of complex information such as that of HL7 there should be no more than 45 slides, and preferably 30 slides.  Additional information may be provided.  If you have a course that changes significantly according to the audience needs, the materials should have clear sections or topics and declaration of those topics covered and not covered should be made both to the students and recorded in course feedback information.</w:t>
      </w:r>
    </w:p>
    <w:tbl>
      <w:tblPr>
        <w:tblW w:w="8682" w:type="dxa"/>
        <w:tblInd w:w="93" w:type="dxa"/>
        <w:tblLook w:val="04A0" w:firstRow="1" w:lastRow="0" w:firstColumn="1" w:lastColumn="0" w:noHBand="0" w:noVBand="1"/>
      </w:tblPr>
      <w:tblGrid>
        <w:gridCol w:w="1431"/>
        <w:gridCol w:w="2934"/>
        <w:gridCol w:w="992"/>
        <w:gridCol w:w="3325"/>
      </w:tblGrid>
      <w:tr w:rsidR="0043163C" w:rsidRPr="00D6028D" w:rsidTr="0043163C">
        <w:trPr>
          <w:trHeight w:val="303"/>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Resources</w:t>
            </w:r>
          </w:p>
        </w:tc>
      </w:tr>
      <w:tr w:rsidR="0043163C" w:rsidRPr="00D6028D" w:rsidTr="0043163C">
        <w:trPr>
          <w:trHeight w:val="9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Introduction</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 xml:space="preserve">Introduce yourself </w:t>
            </w:r>
            <w:r w:rsidRPr="0043163C">
              <w:rPr>
                <w:rFonts w:eastAsia="Times New Roman" w:cs="Calibri"/>
                <w:color w:val="000000"/>
                <w:lang w:eastAsia="en-AU"/>
              </w:rPr>
              <w:t>and</w:t>
            </w:r>
            <w:r>
              <w:rPr>
                <w:rFonts w:eastAsia="Times New Roman" w:cs="Calibri"/>
                <w:color w:val="000000"/>
                <w:lang w:eastAsia="en-AU"/>
              </w:rPr>
              <w:t xml:space="preserve"> explain</w:t>
            </w:r>
            <w:r w:rsidRPr="0043163C">
              <w:rPr>
                <w:rFonts w:eastAsia="Times New Roman" w:cs="Calibri"/>
                <w:color w:val="000000"/>
                <w:lang w:eastAsia="en-AU"/>
              </w:rPr>
              <w:t xml:space="preserve"> what the session is designed to provide</w:t>
            </w:r>
            <w:r>
              <w:rPr>
                <w:rFonts w:eastAsia="Times New Roman" w:cs="Calibri"/>
                <w:color w:val="000000"/>
                <w:lang w:eastAsia="en-AU"/>
              </w:rPr>
              <w:t>,</w:t>
            </w:r>
          </w:p>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Confirm with</w:t>
            </w:r>
            <w:r w:rsidRPr="0043163C">
              <w:rPr>
                <w:rFonts w:eastAsia="Times New Roman" w:cs="Calibri"/>
                <w:color w:val="000000"/>
                <w:lang w:eastAsia="en-AU"/>
              </w:rPr>
              <w:t xml:space="preserve"> learners what they want out of the session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6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General Design of </w:t>
            </w:r>
            <w:r>
              <w:rPr>
                <w:rFonts w:eastAsia="Times New Roman" w:cs="Calibri"/>
                <w:color w:val="000000"/>
                <w:lang w:eastAsia="en-AU"/>
              </w:rPr>
              <w:t>tutorial or information session</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1: understand the need to identify appropriate content and methodology to meet stakeholder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Exercise</w:t>
            </w:r>
            <w:r w:rsidRPr="0043163C">
              <w:rPr>
                <w:rFonts w:eastAsia="Times New Roman" w:cs="Calibri"/>
                <w:color w:val="000000"/>
                <w:lang w:eastAsia="en-AU"/>
              </w:rPr>
              <w:t xml:space="preserve"> - consider for your area of interest</w:t>
            </w:r>
          </w:p>
        </w:tc>
      </w:tr>
      <w:tr w:rsidR="0043163C" w:rsidRPr="00D6028D" w:rsidTr="0043163C">
        <w:trPr>
          <w:trHeight w:val="839"/>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2: understand development of competencies to meet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of competencies for this course, what would be some of the competencies you would identify</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3: identify expected background of learners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15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Structure</w:t>
            </w:r>
            <w:r>
              <w:rPr>
                <w:rFonts w:eastAsia="Times New Roman" w:cs="Calibri"/>
                <w:color w:val="000000"/>
                <w:lang w:eastAsia="en-AU"/>
              </w:rPr>
              <w:t xml:space="preserve"> of deliverable</w:t>
            </w:r>
            <w:r w:rsidRPr="0043163C">
              <w:rPr>
                <w:rFonts w:eastAsia="Times New Roman" w:cs="Calibri"/>
                <w:color w:val="000000"/>
                <w:lang w:eastAsia="en-AU"/>
              </w:rPr>
              <w:t xml:space="preserve"> </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4: understand what a learning plan needs to contain, breaking content into defined timeslots  and identified resources/exercises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10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6B2F26"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 xml:space="preserve">How many slides are in tutorials you provide? </w:t>
            </w:r>
          </w:p>
          <w:p w:rsidR="0043163C" w:rsidRPr="0043163C"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Consider relevance of strategies for flexible learning</w:t>
            </w:r>
          </w:p>
        </w:tc>
      </w:tr>
      <w:tr w:rsidR="0043163C" w:rsidRPr="00D6028D" w:rsidTr="0043163C">
        <w:trPr>
          <w:trHeight w:val="1500"/>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5: understand delivery methods and assessment methods and tools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What alternatives could be used in your situation, what is required to ensure learners achieve required outcomes</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6:  understand the need to measure assessment and </w:t>
            </w:r>
            <w:r w:rsidRPr="0043163C">
              <w:rPr>
                <w:rFonts w:eastAsia="Times New Roman" w:cs="Calibri"/>
                <w:color w:val="000000"/>
                <w:lang w:eastAsia="en-AU"/>
              </w:rPr>
              <w:lastRenderedPageBreak/>
              <w:t>content against competencies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lastRenderedPageBreak/>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tutorial outline</w:t>
            </w:r>
          </w:p>
        </w:tc>
      </w:tr>
      <w:tr w:rsidR="0043163C" w:rsidRPr="00D6028D" w:rsidTr="00CC117D">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lastRenderedPageBreak/>
              <w:t>HL7 requirements</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7: prepare proposal for HL7 education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244E02">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6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8: undertake </w:t>
            </w:r>
            <w:r w:rsidR="00244E02">
              <w:rPr>
                <w:rFonts w:eastAsia="Times New Roman" w:cs="Calibri"/>
                <w:color w:val="000000"/>
                <w:lang w:eastAsia="en-AU"/>
              </w:rPr>
              <w:t xml:space="preserve">basic </w:t>
            </w:r>
            <w:r w:rsidRPr="0043163C">
              <w:rPr>
                <w:rFonts w:eastAsia="Times New Roman" w:cs="Calibri"/>
                <w:color w:val="000000"/>
                <w:lang w:eastAsia="en-AU"/>
              </w:rPr>
              <w:t>tutorial quality review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3</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How could you do this in HL7?</w:t>
            </w:r>
          </w:p>
        </w:tc>
      </w:tr>
      <w:tr w:rsidR="0043163C" w:rsidRPr="00D6028D" w:rsidTr="00244E02">
        <w:trPr>
          <w:trHeight w:val="315"/>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Questions</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sz w:val="24"/>
                <w:szCs w:val="24"/>
                <w:lang w:eastAsia="en-AU"/>
              </w:rPr>
            </w:pP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6B2F26" w:rsidP="0043163C">
            <w:pPr>
              <w:spacing w:after="0" w:line="240" w:lineRule="auto"/>
              <w:rPr>
                <w:rFonts w:eastAsia="Times New Roman" w:cs="Calibri"/>
                <w:color w:val="000000"/>
                <w:lang w:eastAsia="en-AU"/>
              </w:rPr>
            </w:pPr>
            <w:r>
              <w:rPr>
                <w:rFonts w:eastAsia="Times New Roman" w:cs="Calibri"/>
                <w:color w:val="000000"/>
                <w:lang w:eastAsia="en-AU"/>
              </w:rPr>
              <w:t>TOTAL TIME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92347B" w:rsidRPr="00D6028D" w:rsidTr="00CD227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auto" w:fill="auto"/>
            <w:hideMark/>
          </w:tcPr>
          <w:p w:rsid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 xml:space="preserve">Speakers are invited to speak as a representative of HL7 and to do a tutorial for HL7. Speakers may indicate their name and their firm’s name on the introduction slides.  </w:t>
            </w:r>
          </w:p>
          <w:p w:rsidR="0092347B" w:rsidRPr="0092347B" w:rsidRDefault="0092347B" w:rsidP="0092347B">
            <w:pPr>
              <w:spacing w:after="0" w:line="240" w:lineRule="auto"/>
              <w:rPr>
                <w:rFonts w:eastAsia="Times New Roman" w:cs="Calibri"/>
                <w:color w:val="000000"/>
                <w:lang w:eastAsia="en-AU"/>
              </w:rPr>
            </w:pPr>
          </w:p>
          <w:p w:rsidR="0092347B" w:rsidRDefault="0092347B" w:rsidP="0092347B">
            <w:pPr>
              <w:spacing w:after="0" w:line="240" w:lineRule="auto"/>
              <w:rPr>
                <w:rFonts w:eastAsia="Times New Roman" w:cs="Calibri"/>
                <w:color w:val="FF0000"/>
                <w:lang w:eastAsia="en-AU"/>
              </w:rPr>
            </w:pPr>
            <w:r w:rsidRPr="0092347B">
              <w:rPr>
                <w:rFonts w:eastAsia="Times New Roman" w:cs="Calibri"/>
                <w:color w:val="FF0000"/>
                <w:lang w:eastAsia="en-AU"/>
              </w:rPr>
              <w:t>Speakers are not allowed to include slides or hold discussions during HL7 tutorials, indicating “our company provides XXX or XXX” or provide ‘infomercials’ on their company, the products they sell, etc.</w:t>
            </w:r>
          </w:p>
          <w:p w:rsidR="0092347B" w:rsidRPr="0092347B" w:rsidRDefault="0092347B" w:rsidP="0092347B">
            <w:pPr>
              <w:spacing w:after="0" w:line="240" w:lineRule="auto"/>
              <w:rPr>
                <w:rFonts w:eastAsia="Times New Roman" w:cs="Calibri"/>
                <w:color w:val="FF0000"/>
                <w:lang w:eastAsia="en-AU"/>
              </w:rPr>
            </w:pPr>
          </w:p>
          <w:p w:rsidR="0092347B" w:rsidRP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HL7 will not allow speakers to use the HL7 tutorials as a time for marketing of individual firms.</w:t>
            </w:r>
          </w:p>
          <w:p w:rsidR="0092347B" w:rsidRPr="0043163C" w:rsidRDefault="0092347B" w:rsidP="0043163C">
            <w:pPr>
              <w:spacing w:after="0" w:line="240" w:lineRule="auto"/>
              <w:rPr>
                <w:rFonts w:eastAsia="Times New Roman" w:cs="Calibri"/>
                <w:color w:val="000000"/>
                <w:lang w:eastAsia="en-AU"/>
              </w:rPr>
            </w:pPr>
          </w:p>
        </w:tc>
      </w:tr>
    </w:tbl>
    <w:p w:rsidR="0092347B" w:rsidRPr="0092347B" w:rsidRDefault="006A3D6F" w:rsidP="0092347B">
      <w:r>
        <w:br w:type="page"/>
      </w:r>
    </w:p>
    <w:p w:rsidR="00C96960" w:rsidRDefault="00C96960" w:rsidP="006A3D6F"/>
    <w:p w:rsidR="006A3D6F" w:rsidRDefault="006A3D6F" w:rsidP="006A3D6F">
      <w:r>
        <w:t xml:space="preserve"> Appendix </w:t>
      </w:r>
      <w:r w:rsidR="00C149A7">
        <w:t>A</w:t>
      </w:r>
      <w:r>
        <w:t xml:space="preserve">  Bloom's Taxonomy</w:t>
      </w:r>
      <w:r w:rsidR="00DC3178">
        <w:fldChar w:fldCharType="begin"/>
      </w:r>
      <w:r>
        <w:instrText xml:space="preserve"> ADDIN EN.CITE &lt;EndNote&gt;&lt;Cite&gt;&lt;Author&gt;Bloom&lt;/Author&gt;&lt;Year&gt;1956&lt;/Year&gt;&lt;RecNum&gt;923&lt;/RecNum&gt;&lt;record&gt;&lt;rec-number&gt;923&lt;/rec-number&gt;&lt;foreign-keys&gt;&lt;key app="EN" db-id="svtpvw223ffs04efswsv5s9trw0xst0vx2t0"&gt;923&lt;/key&gt;&lt;/foreign-keys&gt;&lt;ref-type name="Edited Book"&gt;28&lt;/ref-type&gt;&lt;contributors&gt;&lt;authors&gt;&lt;author&gt;Bloom, BS&lt;/author&gt;&lt;/authors&gt;&lt;/contributors&gt;&lt;titles&gt;&lt;title&gt;Taxonomy of education objectives:  The classificaiton of educational goals: Handbook 1, cognitive domain&lt;/title&gt;&lt;/titles&gt;&lt;dates&gt;&lt;year&gt;1956&lt;/year&gt;&lt;/dates&gt;&lt;publisher&gt;Longmans, Green, New York, Toronto&lt;/publisher&gt;&lt;urls&gt;&lt;/urls&gt;&lt;/record&gt;&lt;/Cite&gt;&lt;/EndNote&gt;</w:instrText>
      </w:r>
      <w:r w:rsidR="00DC3178">
        <w:fldChar w:fldCharType="separate"/>
      </w:r>
      <w:r>
        <w:rPr>
          <w:noProof/>
        </w:rPr>
        <w:t>(Bloom, 1956)</w:t>
      </w:r>
      <w:r w:rsidR="00DC3178">
        <w:fldChar w:fldCharType="end"/>
      </w:r>
      <w:r>
        <w:t>, with Skills Framework</w:t>
      </w:r>
      <w:r w:rsidR="00397EAC">
        <w:t xml:space="preserve"> for the Information Age (SFIA) (SAIF </w:t>
      </w:r>
      <w:r w:rsidR="006B2F26">
        <w:t>F</w:t>
      </w:r>
      <w:r w:rsidR="00397EAC">
        <w:t xml:space="preserve">oundation) </w:t>
      </w:r>
      <w:r>
        <w:t>level comparison</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6"/>
        <w:gridCol w:w="5055"/>
        <w:gridCol w:w="2291"/>
      </w:tblGrid>
      <w:tr w:rsidR="006A3D6F" w:rsidRPr="00D6028D" w:rsidTr="00D6028D">
        <w:tc>
          <w:tcPr>
            <w:tcW w:w="19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Bloom’s Taxonomy</w:t>
            </w:r>
          </w:p>
        </w:tc>
        <w:tc>
          <w:tcPr>
            <w:tcW w:w="5812"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Verbs used to describe the levels of tasks an individual at a given level of competency is able to perform.</w:t>
            </w:r>
          </w:p>
        </w:tc>
        <w:tc>
          <w:tcPr>
            <w:tcW w:w="25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SFIA levels</w:t>
            </w:r>
          </w:p>
        </w:tc>
      </w:tr>
      <w:tr w:rsidR="006A3D6F" w:rsidRPr="00D6028D" w:rsidTr="00D6028D">
        <w:tc>
          <w:tcPr>
            <w:tcW w:w="1951" w:type="dxa"/>
            <w:tcBorders>
              <w:top w:val="single" w:sz="8"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Knowledge</w:t>
            </w:r>
          </w:p>
        </w:tc>
        <w:tc>
          <w:tcPr>
            <w:tcW w:w="5812" w:type="dxa"/>
            <w:tcBorders>
              <w:top w:val="single" w:sz="8"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define, duplicate, label, list, memorize, name, order, recognize, relate, recall, repeat, and reproduce state. </w:t>
            </w:r>
          </w:p>
        </w:tc>
        <w:tc>
          <w:tcPr>
            <w:tcW w:w="2551" w:type="dxa"/>
            <w:tcBorders>
              <w:top w:val="single" w:sz="8"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1:  Follow</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Comprehension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classify, describe, discuss, explain, express, identify, indicate, locate, recognize, report, restate, review, select, translate, </w:t>
            </w:r>
            <w:r w:rsidR="007A48CD">
              <w:rPr>
                <w:rFonts w:eastAsia="Times New Roman"/>
                <w:lang w:eastAsia="zh-CN"/>
              </w:rPr>
              <w:t>understand</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2:  Assist</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Application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Apply, choose, demonstrate, dramatize, employ, illustrate, interpret, operate, practice, schedule, sketch, solve, use,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3:  Apply</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Analyse</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Analyze, appraise, calculate, categorize, compare, contrast, criticize, differentiate, discriminate, distinguish, examine, experiment, question, and test. </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4:  Enable</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Synthesis</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assemble, collect, compose, construct, create, design, develop, formulate, manage, organize, plan, prepare, propose, set up, and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5:  Ensure, Advise</w:t>
            </w:r>
          </w:p>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6: Initiate, influence</w:t>
            </w:r>
          </w:p>
        </w:tc>
      </w:tr>
      <w:tr w:rsidR="006A3D6F" w:rsidRPr="00D6028D" w:rsidTr="00D6028D">
        <w:tc>
          <w:tcPr>
            <w:tcW w:w="1951" w:type="dxa"/>
            <w:tcBorders>
              <w:top w:val="single" w:sz="6" w:space="0" w:color="000000"/>
              <w:bottom w:val="single" w:sz="8" w:space="0" w:color="000000"/>
              <w:right w:val="single" w:sz="6" w:space="0" w:color="000000"/>
            </w:tcBorders>
          </w:tcPr>
          <w:p w:rsidR="006A3D6F" w:rsidRPr="00D6028D" w:rsidRDefault="006A3D6F" w:rsidP="00D6028D">
            <w:pPr>
              <w:spacing w:after="0" w:line="240" w:lineRule="auto"/>
              <w:rPr>
                <w:b/>
                <w:bCs/>
              </w:rPr>
            </w:pPr>
            <w:r w:rsidRPr="00D6028D">
              <w:rPr>
                <w:bCs/>
              </w:rPr>
              <w:t>Evaluation</w:t>
            </w:r>
          </w:p>
        </w:tc>
        <w:tc>
          <w:tcPr>
            <w:tcW w:w="5812" w:type="dxa"/>
            <w:tcBorders>
              <w:top w:val="single" w:sz="6" w:space="0" w:color="000000"/>
              <w:left w:val="single" w:sz="6" w:space="0" w:color="000000"/>
              <w:bottom w:val="single" w:sz="8"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appraise, argue, assess, attach, choose compare, defend estimate, judge, predict, rate, score, select, support, value, evaluate</w:t>
            </w:r>
          </w:p>
        </w:tc>
        <w:tc>
          <w:tcPr>
            <w:tcW w:w="2551" w:type="dxa"/>
            <w:tcBorders>
              <w:top w:val="single" w:sz="6" w:space="0" w:color="000000"/>
              <w:left w:val="single" w:sz="6" w:space="0" w:color="000000"/>
              <w:bottom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7: Set Strategy, inspire, mobilise</w:t>
            </w:r>
          </w:p>
        </w:tc>
      </w:tr>
    </w:tbl>
    <w:p w:rsidR="006A3D6F" w:rsidRDefault="006A3D6F"/>
    <w:p w:rsidR="00397EAC" w:rsidRDefault="00A3674F">
      <w:r>
        <w:t>Bibliography</w:t>
      </w:r>
    </w:p>
    <w:p w:rsidR="00397EAC" w:rsidRDefault="00397EAC" w:rsidP="00397EAC">
      <w:pPr>
        <w:spacing w:after="0" w:line="240" w:lineRule="auto"/>
        <w:ind w:left="720" w:hanging="720"/>
        <w:rPr>
          <w:rFonts w:cs="Calibri"/>
          <w:noProof/>
        </w:rPr>
      </w:pPr>
      <w:r w:rsidRPr="00A36C43">
        <w:rPr>
          <w:rFonts w:cs="Calibri"/>
          <w:noProof/>
        </w:rPr>
        <w:t xml:space="preserve">BLOOM, B. (ed.) 1956. </w:t>
      </w:r>
      <w:r w:rsidRPr="00A36C43">
        <w:rPr>
          <w:rFonts w:cs="Calibri"/>
          <w:i/>
          <w:noProof/>
        </w:rPr>
        <w:t>Taxonomy of education objectives:  The classificaiton of educational goals: Handbook 1, cognitive domain</w:t>
      </w:r>
      <w:r w:rsidRPr="00A36C43">
        <w:rPr>
          <w:rFonts w:cs="Calibri"/>
          <w:noProof/>
        </w:rPr>
        <w:t>: Longmans, Green, New York, Toronto.</w:t>
      </w:r>
    </w:p>
    <w:p w:rsidR="00397EAC" w:rsidRDefault="00397EAC" w:rsidP="00397EAC">
      <w:pPr>
        <w:spacing w:after="0" w:line="240" w:lineRule="auto"/>
        <w:ind w:left="720" w:hanging="720"/>
        <w:rPr>
          <w:rFonts w:cs="Calibri"/>
          <w:noProof/>
        </w:rPr>
      </w:pPr>
    </w:p>
    <w:p w:rsidR="00397EAC" w:rsidRPr="00A36C43" w:rsidRDefault="00397EAC" w:rsidP="00397EAC">
      <w:pPr>
        <w:spacing w:after="0" w:line="240" w:lineRule="auto"/>
        <w:ind w:left="720" w:hanging="720"/>
        <w:rPr>
          <w:rFonts w:cs="Calibri"/>
          <w:noProof/>
        </w:rPr>
      </w:pPr>
      <w:r w:rsidRPr="00A36C43">
        <w:rPr>
          <w:rFonts w:cs="Calibri"/>
          <w:noProof/>
        </w:rPr>
        <w:t xml:space="preserve">SFIA FOUNDATION. 2008. </w:t>
      </w:r>
      <w:r w:rsidRPr="00A36C43">
        <w:rPr>
          <w:rFonts w:cs="Calibri"/>
          <w:i/>
          <w:noProof/>
        </w:rPr>
        <w:t xml:space="preserve">Skills Framework for the Information Age </w:t>
      </w:r>
      <w:r w:rsidRPr="00A36C43">
        <w:rPr>
          <w:rFonts w:cs="Calibri"/>
          <w:noProof/>
        </w:rPr>
        <w:t xml:space="preserve">[Online]. Available: </w:t>
      </w:r>
      <w:hyperlink r:id="rId8" w:history="1">
        <w:r w:rsidRPr="00A36C43">
          <w:rPr>
            <w:rStyle w:val="Hyperlink"/>
            <w:rFonts w:cs="Calibri"/>
            <w:noProof/>
          </w:rPr>
          <w:t>http://www.sfia.org.uk/cgi-bin/wms.pl/932</w:t>
        </w:r>
      </w:hyperlink>
      <w:r w:rsidRPr="00A36C43">
        <w:rPr>
          <w:rFonts w:cs="Calibri"/>
          <w:noProof/>
        </w:rPr>
        <w:t xml:space="preserve"> [Accessed 11 Feb 2010].</w:t>
      </w:r>
    </w:p>
    <w:p w:rsidR="00397EAC" w:rsidRPr="00A36C43" w:rsidRDefault="00397EAC" w:rsidP="00397EAC">
      <w:pPr>
        <w:spacing w:after="0" w:line="240" w:lineRule="auto"/>
        <w:ind w:left="720" w:hanging="720"/>
        <w:rPr>
          <w:rFonts w:cs="Calibri"/>
          <w:noProof/>
        </w:rPr>
      </w:pPr>
    </w:p>
    <w:p w:rsidR="00B040CD" w:rsidRPr="00B040CD" w:rsidRDefault="00B040CD" w:rsidP="00B040CD"/>
    <w:p w:rsidR="00B040CD" w:rsidRPr="00B040CD" w:rsidRDefault="00B040CD" w:rsidP="00B040CD"/>
    <w:p w:rsidR="00B040CD" w:rsidRPr="00B040CD" w:rsidRDefault="00B040CD" w:rsidP="00B040CD"/>
    <w:p w:rsidR="00B040CD" w:rsidRDefault="00B040CD" w:rsidP="00B040CD"/>
    <w:p w:rsidR="00B040CD" w:rsidRPr="00B040CD" w:rsidRDefault="00B040CD" w:rsidP="00B040CD">
      <w:pPr>
        <w:tabs>
          <w:tab w:val="left" w:pos="8055"/>
        </w:tabs>
      </w:pPr>
      <w:r>
        <w:tab/>
      </w:r>
    </w:p>
    <w:sectPr w:rsidR="00B040CD" w:rsidRPr="00B040CD" w:rsidSect="00D313D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977" w:rsidRDefault="00597977" w:rsidP="0092347B">
      <w:pPr>
        <w:spacing w:after="0" w:line="240" w:lineRule="auto"/>
      </w:pPr>
      <w:r>
        <w:separator/>
      </w:r>
    </w:p>
  </w:endnote>
  <w:endnote w:type="continuationSeparator" w:id="0">
    <w:p w:rsidR="00597977" w:rsidRDefault="00597977" w:rsidP="0092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977" w:rsidRDefault="00597977" w:rsidP="0092347B">
      <w:pPr>
        <w:spacing w:after="0" w:line="240" w:lineRule="auto"/>
      </w:pPr>
      <w:r>
        <w:separator/>
      </w:r>
    </w:p>
  </w:footnote>
  <w:footnote w:type="continuationSeparator" w:id="0">
    <w:p w:rsidR="00597977" w:rsidRDefault="00597977" w:rsidP="00923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92347B" w:rsidP="00C96960">
    <w:pPr>
      <w:spacing w:after="0"/>
      <w:rPr>
        <w:rFonts w:ascii="Arial" w:eastAsia="Times New Roman" w:hAnsi="Arial" w:cs="Arial"/>
        <w:sz w:val="20"/>
        <w:szCs w:val="20"/>
        <w:lang w:val="en-US"/>
      </w:rPr>
    </w:pPr>
    <w:r>
      <w:rPr>
        <w:noProof/>
        <w:lang w:val="nl-NL" w:eastAsia="zh-CN"/>
      </w:rPr>
      <w:drawing>
        <wp:anchor distT="0" distB="0" distL="114300" distR="114300" simplePos="0" relativeHeight="251658240" behindDoc="1" locked="0" layoutInCell="1" allowOverlap="1">
          <wp:simplePos x="0" y="0"/>
          <wp:positionH relativeFrom="column">
            <wp:posOffset>-168275</wp:posOffset>
          </wp:positionH>
          <wp:positionV relativeFrom="paragraph">
            <wp:posOffset>-34290</wp:posOffset>
          </wp:positionV>
          <wp:extent cx="913765" cy="934720"/>
          <wp:effectExtent l="19050" t="0" r="635" b="0"/>
          <wp:wrapTight wrapText="bothSides">
            <wp:wrapPolygon edited="0">
              <wp:start x="-450" y="0"/>
              <wp:lineTo x="-450" y="21130"/>
              <wp:lineTo x="21615" y="21130"/>
              <wp:lineTo x="21615" y="0"/>
              <wp:lineTo x="-450" y="0"/>
            </wp:wrapPolygon>
          </wp:wrapTight>
          <wp:docPr id="1" name="Picture 1" descr="Z:\IMAGERY\HL7\HL7 Logos\HL7 International Logo\HL7-Internationa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RY\HL7\HL7 Logos\HL7 International Logo\HL7-International-Logo2.gif"/>
                  <pic:cNvPicPr>
                    <a:picLocks noChangeAspect="1" noChangeArrowheads="1"/>
                  </pic:cNvPicPr>
                </pic:nvPicPr>
                <pic:blipFill>
                  <a:blip r:embed="rId1"/>
                  <a:srcRect/>
                  <a:stretch>
                    <a:fillRect/>
                  </a:stretch>
                </pic:blipFill>
                <pic:spPr bwMode="auto">
                  <a:xfrm>
                    <a:off x="0" y="0"/>
                    <a:ext cx="913765" cy="934720"/>
                  </a:xfrm>
                  <a:prstGeom prst="rect">
                    <a:avLst/>
                  </a:prstGeom>
                  <a:noFill/>
                  <a:ln w="9525">
                    <a:noFill/>
                    <a:miter lim="800000"/>
                    <a:headEnd/>
                    <a:tailEnd/>
                  </a:ln>
                </pic:spPr>
              </pic:pic>
            </a:graphicData>
          </a:graphic>
        </wp:anchor>
      </w:drawing>
    </w:r>
    <w:r w:rsidR="00C96960" w:rsidRPr="00C96960">
      <w:rPr>
        <w:rFonts w:ascii="Arial" w:eastAsia="Times New Roman" w:hAnsi="Arial" w:cs="Arial"/>
        <w:sz w:val="20"/>
        <w:szCs w:val="20"/>
        <w:lang w:val="en-US"/>
      </w:rPr>
      <w:t xml:space="preserve"> </w:t>
    </w:r>
    <w:r w:rsidR="00C96960">
      <w:rPr>
        <w:rFonts w:ascii="Arial" w:eastAsia="Times New Roman" w:hAnsi="Arial" w:cs="Arial"/>
        <w:sz w:val="20"/>
        <w:szCs w:val="20"/>
        <w:lang w:val="en-US"/>
      </w:rPr>
      <w:tab/>
    </w:r>
    <w:r w:rsidR="00C96960">
      <w:rPr>
        <w:rFonts w:ascii="Arial" w:eastAsia="Times New Roman" w:hAnsi="Arial" w:cs="Arial"/>
        <w:sz w:val="20"/>
        <w:szCs w:val="20"/>
        <w:lang w:val="en-US"/>
      </w:rPr>
      <w:tab/>
    </w:r>
  </w:p>
  <w:p w:rsidR="00C96960" w:rsidRPr="00C96960" w:rsidRDefault="00C96960" w:rsidP="00C96960">
    <w:pPr>
      <w:spacing w:after="0"/>
      <w:ind w:left="720"/>
      <w:rPr>
        <w:rFonts w:ascii="Arial" w:eastAsia="Times New Roman" w:hAnsi="Arial" w:cs="Arial"/>
        <w:sz w:val="20"/>
        <w:szCs w:val="20"/>
        <w:lang w:val="en-US"/>
      </w:rPr>
    </w:pPr>
    <w:r>
      <w:rPr>
        <w:rFonts w:ascii="Arial" w:eastAsia="Times New Roman" w:hAnsi="Arial" w:cs="Arial"/>
        <w:sz w:val="20"/>
        <w:szCs w:val="20"/>
        <w:lang w:val="en-US"/>
      </w:rPr>
      <w:t xml:space="preserve">                          </w:t>
    </w:r>
    <w:r w:rsidRPr="00C96960">
      <w:rPr>
        <w:rFonts w:ascii="Arial" w:eastAsia="Times New Roman" w:hAnsi="Arial" w:cs="Arial"/>
        <w:sz w:val="20"/>
        <w:szCs w:val="20"/>
        <w:lang w:val="en-US"/>
      </w:rPr>
      <w:t>Health Level Seven</w:t>
    </w:r>
    <w:r w:rsidRPr="00C96960">
      <w:rPr>
        <w:rFonts w:ascii="Arial" w:eastAsia="Times New Roman" w:hAnsi="Arial" w:cs="Arial"/>
        <w:sz w:val="20"/>
        <w:szCs w:val="20"/>
        <w:vertAlign w:val="superscript"/>
        <w:lang w:val="en-US"/>
      </w:rPr>
      <w:t>®</w:t>
    </w:r>
    <w:r w:rsidRPr="00C96960">
      <w:rPr>
        <w:rFonts w:ascii="Arial" w:eastAsia="Times New Roman" w:hAnsi="Arial" w:cs="Arial"/>
        <w:sz w:val="20"/>
        <w:szCs w:val="20"/>
        <w:lang w:val="en-US"/>
      </w:rPr>
      <w:t xml:space="preserve"> International</w:t>
    </w:r>
  </w:p>
  <w:p w:rsidR="00C96960" w:rsidRPr="00C96960" w:rsidRDefault="00C96960" w:rsidP="00C96960">
    <w:pPr>
      <w:autoSpaceDE w:val="0"/>
      <w:autoSpaceDN w:val="0"/>
      <w:adjustRightInd w:val="0"/>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                       </w:t>
    </w:r>
    <w:r>
      <w:rPr>
        <w:rFonts w:ascii="Arial" w:eastAsia="Times New Roman" w:hAnsi="Arial" w:cs="Arial"/>
        <w:sz w:val="20"/>
        <w:szCs w:val="20"/>
        <w:lang w:val="en-US"/>
      </w:rPr>
      <w:tab/>
    </w:r>
    <w:r w:rsidRPr="00C96960">
      <w:rPr>
        <w:rFonts w:ascii="Arial" w:eastAsia="Times New Roman" w:hAnsi="Arial" w:cs="Arial"/>
        <w:sz w:val="20"/>
        <w:szCs w:val="20"/>
        <w:lang w:val="en-US"/>
      </w:rPr>
      <w:t>Unlocking the Power of Health Information</w:t>
    </w:r>
  </w:p>
  <w:p w:rsidR="00C96960" w:rsidRPr="00C96960" w:rsidRDefault="00597977" w:rsidP="00C96960">
    <w:pPr>
      <w:autoSpaceDE w:val="0"/>
      <w:autoSpaceDN w:val="0"/>
      <w:adjustRightInd w:val="0"/>
      <w:spacing w:after="0" w:line="240" w:lineRule="auto"/>
      <w:ind w:firstLine="1440"/>
      <w:rPr>
        <w:rFonts w:ascii="Arial" w:eastAsia="Times New Roman" w:hAnsi="Arial" w:cs="Arial"/>
        <w:sz w:val="20"/>
        <w:szCs w:val="20"/>
        <w:lang w:val="en-US"/>
      </w:rPr>
    </w:pPr>
    <w:r>
      <w:rPr>
        <w:rFonts w:ascii="Arial" w:eastAsia="Times New Roman" w:hAnsi="Arial" w:cs="Arial"/>
        <w:sz w:val="20"/>
        <w:szCs w:val="20"/>
        <w:lang w:val="en-US"/>
      </w:rPr>
      <w:pict>
        <v:rect id="_x0000_i1025" style="width:252.3pt;height:1.55pt" o:hrpct="559" o:hrstd="t" o:hr="t" fillcolor="gray" stroked="f"/>
      </w:pict>
    </w:r>
  </w:p>
  <w:p w:rsidR="00C96960" w:rsidRPr="00C96960" w:rsidRDefault="00C96960" w:rsidP="00C96960">
    <w:pPr>
      <w:autoSpaceDE w:val="0"/>
      <w:autoSpaceDN w:val="0"/>
      <w:adjustRightInd w:val="0"/>
      <w:spacing w:after="0" w:line="240" w:lineRule="auto"/>
      <w:ind w:left="720" w:firstLine="720"/>
      <w:rPr>
        <w:rFonts w:ascii="Arial" w:eastAsia="Times New Roman" w:hAnsi="Arial" w:cs="Arial"/>
        <w:sz w:val="20"/>
        <w:szCs w:val="20"/>
        <w:lang w:val="en-US"/>
      </w:rPr>
    </w:pPr>
    <w:r w:rsidRPr="00C96960">
      <w:rPr>
        <w:rFonts w:ascii="Arial" w:eastAsia="Times New Roman" w:hAnsi="Arial" w:cs="Arial"/>
        <w:sz w:val="20"/>
        <w:szCs w:val="20"/>
        <w:lang w:val="en-US"/>
      </w:rPr>
      <w:t>An ANSI accredited standards developer</w:t>
    </w:r>
  </w:p>
  <w:p w:rsidR="0092347B" w:rsidRDefault="0092347B">
    <w:pPr>
      <w:pStyle w:val="Header"/>
    </w:pPr>
  </w:p>
  <w:p w:rsidR="0092347B" w:rsidRDefault="00923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E416D"/>
    <w:multiLevelType w:val="hybridMultilevel"/>
    <w:tmpl w:val="4E82323C"/>
    <w:lvl w:ilvl="0" w:tplc="D7EE7BBC">
      <w:numFmt w:val="bullet"/>
      <w:lvlText w:val=""/>
      <w:lvlJc w:val="left"/>
      <w:pPr>
        <w:ind w:left="360" w:hanging="360"/>
      </w:pPr>
      <w:rPr>
        <w:rFonts w:ascii="Symbol" w:eastAsia="Calibri" w:hAnsi="Symbol"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CD"/>
    <w:rsid w:val="00000D21"/>
    <w:rsid w:val="00024ACA"/>
    <w:rsid w:val="000425DC"/>
    <w:rsid w:val="000D6711"/>
    <w:rsid w:val="00117361"/>
    <w:rsid w:val="00131204"/>
    <w:rsid w:val="00244E02"/>
    <w:rsid w:val="00265E03"/>
    <w:rsid w:val="002730B7"/>
    <w:rsid w:val="002C7FA0"/>
    <w:rsid w:val="003877D2"/>
    <w:rsid w:val="00397EAC"/>
    <w:rsid w:val="0041726B"/>
    <w:rsid w:val="0043163C"/>
    <w:rsid w:val="00491C11"/>
    <w:rsid w:val="00592D7A"/>
    <w:rsid w:val="00595CD8"/>
    <w:rsid w:val="00597977"/>
    <w:rsid w:val="006660AE"/>
    <w:rsid w:val="006A3D6F"/>
    <w:rsid w:val="006B2F26"/>
    <w:rsid w:val="006B3647"/>
    <w:rsid w:val="006C3E3E"/>
    <w:rsid w:val="007A48CD"/>
    <w:rsid w:val="007C53C6"/>
    <w:rsid w:val="008001E2"/>
    <w:rsid w:val="008908CF"/>
    <w:rsid w:val="0092347B"/>
    <w:rsid w:val="009A72D5"/>
    <w:rsid w:val="009C631D"/>
    <w:rsid w:val="00A11D6D"/>
    <w:rsid w:val="00A3674F"/>
    <w:rsid w:val="00AB1F8F"/>
    <w:rsid w:val="00AC682C"/>
    <w:rsid w:val="00B040CD"/>
    <w:rsid w:val="00B73FA3"/>
    <w:rsid w:val="00BE57B5"/>
    <w:rsid w:val="00C149A7"/>
    <w:rsid w:val="00C51977"/>
    <w:rsid w:val="00C96960"/>
    <w:rsid w:val="00CC117D"/>
    <w:rsid w:val="00CD23B5"/>
    <w:rsid w:val="00D313DD"/>
    <w:rsid w:val="00D6028D"/>
    <w:rsid w:val="00DC3178"/>
    <w:rsid w:val="00E17963"/>
    <w:rsid w:val="00E4526E"/>
    <w:rsid w:val="00F15F02"/>
    <w:rsid w:val="00F25689"/>
    <w:rsid w:val="00FD4D9D"/>
    <w:rsid w:val="00FF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E17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E17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8614">
      <w:bodyDiv w:val="1"/>
      <w:marLeft w:val="0"/>
      <w:marRight w:val="0"/>
      <w:marTop w:val="0"/>
      <w:marBottom w:val="0"/>
      <w:divBdr>
        <w:top w:val="none" w:sz="0" w:space="0" w:color="auto"/>
        <w:left w:val="none" w:sz="0" w:space="0" w:color="auto"/>
        <w:bottom w:val="none" w:sz="0" w:space="0" w:color="auto"/>
        <w:right w:val="none" w:sz="0" w:space="0" w:color="auto"/>
      </w:divBdr>
    </w:div>
    <w:div w:id="524294083">
      <w:bodyDiv w:val="1"/>
      <w:marLeft w:val="0"/>
      <w:marRight w:val="0"/>
      <w:marTop w:val="0"/>
      <w:marBottom w:val="0"/>
      <w:divBdr>
        <w:top w:val="none" w:sz="0" w:space="0" w:color="auto"/>
        <w:left w:val="none" w:sz="0" w:space="0" w:color="auto"/>
        <w:bottom w:val="none" w:sz="0" w:space="0" w:color="auto"/>
        <w:right w:val="none" w:sz="0" w:space="0" w:color="auto"/>
      </w:divBdr>
    </w:div>
    <w:div w:id="678853933">
      <w:bodyDiv w:val="1"/>
      <w:marLeft w:val="0"/>
      <w:marRight w:val="0"/>
      <w:marTop w:val="0"/>
      <w:marBottom w:val="0"/>
      <w:divBdr>
        <w:top w:val="none" w:sz="0" w:space="0" w:color="auto"/>
        <w:left w:val="none" w:sz="0" w:space="0" w:color="auto"/>
        <w:bottom w:val="none" w:sz="0" w:space="0" w:color="auto"/>
        <w:right w:val="none" w:sz="0" w:space="0" w:color="auto"/>
      </w:divBdr>
    </w:div>
    <w:div w:id="678895302">
      <w:bodyDiv w:val="1"/>
      <w:marLeft w:val="0"/>
      <w:marRight w:val="0"/>
      <w:marTop w:val="0"/>
      <w:marBottom w:val="0"/>
      <w:divBdr>
        <w:top w:val="none" w:sz="0" w:space="0" w:color="auto"/>
        <w:left w:val="none" w:sz="0" w:space="0" w:color="auto"/>
        <w:bottom w:val="none" w:sz="0" w:space="0" w:color="auto"/>
        <w:right w:val="none" w:sz="0" w:space="0" w:color="auto"/>
      </w:divBdr>
    </w:div>
    <w:div w:id="805201675">
      <w:bodyDiv w:val="1"/>
      <w:marLeft w:val="0"/>
      <w:marRight w:val="0"/>
      <w:marTop w:val="0"/>
      <w:marBottom w:val="0"/>
      <w:divBdr>
        <w:top w:val="none" w:sz="0" w:space="0" w:color="auto"/>
        <w:left w:val="none" w:sz="0" w:space="0" w:color="auto"/>
        <w:bottom w:val="none" w:sz="0" w:space="0" w:color="auto"/>
        <w:right w:val="none" w:sz="0" w:space="0" w:color="auto"/>
      </w:divBdr>
    </w:div>
    <w:div w:id="1190796441">
      <w:bodyDiv w:val="1"/>
      <w:marLeft w:val="0"/>
      <w:marRight w:val="0"/>
      <w:marTop w:val="0"/>
      <w:marBottom w:val="0"/>
      <w:divBdr>
        <w:top w:val="none" w:sz="0" w:space="0" w:color="auto"/>
        <w:left w:val="none" w:sz="0" w:space="0" w:color="auto"/>
        <w:bottom w:val="none" w:sz="0" w:space="0" w:color="auto"/>
        <w:right w:val="none" w:sz="0" w:space="0" w:color="auto"/>
      </w:divBdr>
    </w:div>
    <w:div w:id="1345402231">
      <w:bodyDiv w:val="1"/>
      <w:marLeft w:val="0"/>
      <w:marRight w:val="0"/>
      <w:marTop w:val="0"/>
      <w:marBottom w:val="0"/>
      <w:divBdr>
        <w:top w:val="none" w:sz="0" w:space="0" w:color="auto"/>
        <w:left w:val="none" w:sz="0" w:space="0" w:color="auto"/>
        <w:bottom w:val="none" w:sz="0" w:space="0" w:color="auto"/>
        <w:right w:val="none" w:sz="0" w:space="0" w:color="auto"/>
      </w:divBdr>
    </w:div>
    <w:div w:id="1424185953">
      <w:bodyDiv w:val="1"/>
      <w:marLeft w:val="0"/>
      <w:marRight w:val="0"/>
      <w:marTop w:val="0"/>
      <w:marBottom w:val="0"/>
      <w:divBdr>
        <w:top w:val="none" w:sz="0" w:space="0" w:color="auto"/>
        <w:left w:val="none" w:sz="0" w:space="0" w:color="auto"/>
        <w:bottom w:val="none" w:sz="0" w:space="0" w:color="auto"/>
        <w:right w:val="none" w:sz="0" w:space="0" w:color="auto"/>
      </w:divBdr>
    </w:div>
    <w:div w:id="16098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fia.org.uk/cgi-bin/wms.pl/93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Work\HL7\education\HL7%20Tutorial%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HL7 Tutorial Specification.dot</Template>
  <TotalTime>0</TotalTime>
  <Pages>7</Pages>
  <Words>1359</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8822</CharactersWithSpaces>
  <SharedDoc>false</SharedDoc>
  <HLinks>
    <vt:vector size="6" baseType="variant">
      <vt:variant>
        <vt:i4>4587551</vt:i4>
      </vt:variant>
      <vt:variant>
        <vt:i4>3</vt:i4>
      </vt:variant>
      <vt:variant>
        <vt:i4>0</vt:i4>
      </vt:variant>
      <vt:variant>
        <vt:i4>5</vt:i4>
      </vt:variant>
      <vt:variant>
        <vt:lpwstr>http://www.sfia.org.uk/cgi-bin/wms.pl/932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Ewout Kramer</cp:lastModifiedBy>
  <cp:revision>2</cp:revision>
  <dcterms:created xsi:type="dcterms:W3CDTF">2012-09-27T11:36:00Z</dcterms:created>
  <dcterms:modified xsi:type="dcterms:W3CDTF">2012-09-27T11:36:00Z</dcterms:modified>
</cp:coreProperties>
</file>