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CONSULTÓRIO PRIVADO</w:t>
      </w:r>
    </w:p>
    <w:p>
      <w:pPr>
        <w:pStyle w:val="Subtitle"/>
        <w:jc w:val="center"/>
      </w:pPr>
      <w:r>
        <w:t>Guia Técnico de Instalação e Configuração</w:t>
      </w:r>
    </w:p>
    <w:p>
      <w:r>
        <w:t>Prova de conceito (POC) · ASP.NET Core MVC · .NET 10 · SQL Server · Entity Framework Core</w:t>
      </w:r>
    </w:p>
    <w:p>
      <w:r>
        <w:t>Versão 1.0  |  14 de outubro de 2026  |  Autoria: Flórida da Graça Botelho Araújo</w:t>
      </w:r>
    </w:p>
    <w:p>
      <w:r>
        <w:t>Âmbito: instalação local para demonstração e desenvolvimento. Este documento não constitui uma especificação de produção clínica.</w:t>
      </w:r>
    </w:p>
    <w:p>
      <w:pPr>
        <w:pStyle w:val="Heading1"/>
      </w:pPr>
      <w:r>
        <w:t>1. Objetivo e âmbito</w:t>
      </w:r>
    </w:p>
    <w:p>
      <w:r>
        <w:t>Este guia descreve a preparação de um ambiente local para executar a POC Consultório Privado, a configuração da base de dados e os procedimentos básicos de verificação. Foi elaborado a partir da estrutura SQL exportada da base ConsultorioDemo e do ficheiro Program.cs fornecidos pela autora.</w:t>
      </w:r>
    </w:p>
    <w:p>
      <w:r>
        <w:t>A aplicação abrange utentes, médicos, especialidades, consultas, horários, indisponibilidades, atos clínicos, tipos de atos, pagamentos e perfis de demonstração. Os dados de demonstração devem ser fictícios.</w:t>
      </w:r>
    </w:p>
    <w:p>
      <w:pPr>
        <w:pStyle w:val="Heading1"/>
      </w:pPr>
      <w:r>
        <w:t>2. Organização da solução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87"/>
        <w:gridCol w:w="4787"/>
      </w:tblGrid>
      <w:tr>
        <w:tc>
          <w:tcPr>
            <w:tcW w:type="dxa" w:w="4787"/>
          </w:tcPr>
          <w:p>
            <w:r>
              <w:t>Projeto</w:t>
            </w:r>
          </w:p>
        </w:tc>
        <w:tc>
          <w:tcPr>
            <w:tcW w:type="dxa" w:w="4787"/>
          </w:tcPr>
          <w:p>
            <w:r>
              <w:t>Responsabilidade</w:t>
            </w:r>
          </w:p>
        </w:tc>
      </w:tr>
      <w:tr>
        <w:tc>
          <w:tcPr>
            <w:tcW w:type="dxa" w:w="4787"/>
          </w:tcPr>
          <w:p>
            <w:r>
              <w:t>Consultorio.Domain</w:t>
            </w:r>
          </w:p>
        </w:tc>
        <w:tc>
          <w:tcPr>
            <w:tcW w:type="dxa" w:w="4787"/>
          </w:tcPr>
          <w:p>
            <w:r>
              <w:t>Entidades e modelo de domínio.</w:t>
            </w:r>
          </w:p>
        </w:tc>
      </w:tr>
      <w:tr>
        <w:tc>
          <w:tcPr>
            <w:tcW w:type="dxa" w:w="4787"/>
          </w:tcPr>
          <w:p>
            <w:r>
              <w:t>Consultorio.Application</w:t>
            </w:r>
          </w:p>
        </w:tc>
        <w:tc>
          <w:tcPr>
            <w:tcW w:type="dxa" w:w="4787"/>
          </w:tcPr>
          <w:p>
            <w:r>
              <w:t>Camada de aplicação e lógica de negócio (confirmar serviços concretos no código).</w:t>
            </w:r>
          </w:p>
        </w:tc>
      </w:tr>
      <w:tr>
        <w:tc>
          <w:tcPr>
            <w:tcW w:type="dxa" w:w="4787"/>
          </w:tcPr>
          <w:p>
            <w:r>
              <w:t>Consultorio.Infrastructure</w:t>
            </w:r>
          </w:p>
        </w:tc>
        <w:tc>
          <w:tcPr>
            <w:tcW w:type="dxa" w:w="4787"/>
          </w:tcPr>
          <w:p>
            <w:r>
              <w:t>Persistência, ConsultorioDbContext e migrations do EF Core.</w:t>
            </w:r>
          </w:p>
        </w:tc>
      </w:tr>
      <w:tr>
        <w:tc>
          <w:tcPr>
            <w:tcW w:type="dxa" w:w="4787"/>
          </w:tcPr>
          <w:p>
            <w:r>
              <w:t>Consultorio.Web</w:t>
            </w:r>
          </w:p>
        </w:tc>
        <w:tc>
          <w:tcPr>
            <w:tcW w:type="dxa" w:w="4787"/>
          </w:tcPr>
          <w:p>
            <w:r>
              <w:t>Aplicação ASP.NET Core MVC, configuração e interface web.</w:t>
            </w:r>
          </w:p>
        </w:tc>
      </w:tr>
    </w:tbl>
    <w:p>
      <w:r>
        <w:t>Solução: Consultorio.slnx. O projeto Web regista ConsultorioDbContext com UseSqlServer e define Dashboard/Index como rota inicial.</w:t>
      </w:r>
    </w:p>
    <w:p>
      <w:pPr>
        <w:pStyle w:val="Heading1"/>
      </w:pPr>
      <w:r>
        <w:t>3. Pré-requisitos</w:t>
      </w:r>
    </w:p>
    <w:p>
      <w:pPr>
        <w:pStyle w:val="ListBullet"/>
      </w:pPr>
      <w:r>
        <w:t>Windows com Visual Studio 2026 e suporte para desenvolvimento ASP.NET e web.</w:t>
      </w:r>
    </w:p>
    <w:p>
      <w:pPr>
        <w:pStyle w:val="ListBullet"/>
      </w:pPr>
      <w:r>
        <w:t>SDK .NET 10 instalado e compatível com os projetos da solução.</w:t>
      </w:r>
    </w:p>
    <w:p>
      <w:pPr>
        <w:pStyle w:val="ListBullet"/>
      </w:pPr>
      <w:r>
        <w:t>Microsoft SQL Server e SQL Server Management Studio (SSMS).</w:t>
      </w:r>
    </w:p>
    <w:p>
      <w:pPr>
        <w:pStyle w:val="ListBullet"/>
      </w:pPr>
      <w:r>
        <w:t>Permissões para criar uma base de dados e executar scripts DDL no SQL Server.</w:t>
      </w:r>
    </w:p>
    <w:p>
      <w:pPr>
        <w:pStyle w:val="ListBullet"/>
      </w:pPr>
      <w:r>
        <w:t>Código-fonte local e ficheiro ConsultorioDemo_Estrutura.sql.</w:t>
      </w:r>
    </w:p>
    <w:p>
      <w:r>
        <w:t>Os números exatos de versão do SQL Server, pacotes NuGet e eventuais dependências adicionais devem ser confirmados nos ficheiros .csproj e no ambiente de destino.</w:t>
      </w:r>
    </w:p>
    <w:p>
      <w:pPr>
        <w:pStyle w:val="Heading1"/>
      </w:pPr>
      <w:r>
        <w:t>4. Preparação do código</w:t>
      </w:r>
    </w:p>
    <w:p>
      <w:r>
        <w:t>1. Obter uma cópia autorizada do repositório Consultorio-Privado (atualmente privado).</w:t>
      </w:r>
    </w:p>
    <w:p>
      <w:r>
        <w:t>2. Abrir Consultorio.slnx no Visual Studio 2026.</w:t>
      </w:r>
    </w:p>
    <w:p>
      <w:r>
        <w:t>3. Confirmar que os quatro projetos estão carregados e que os caminhos não apontam para pastas externas.</w:t>
      </w:r>
    </w:p>
    <w:p>
      <w:r>
        <w:t>4. Restaurar os pacotes NuGet e compilar a solução (Build → Build Solution).</w:t>
      </w:r>
    </w:p>
    <w:p>
      <w:r>
        <w:t>5. Definir Consultorio.Web como projeto de arranque antes de executar a aplicação.</w:t>
      </w:r>
    </w:p>
    <w:p>
      <w:pPr>
        <w:ind w:left="283"/>
      </w:pPr>
      <w:r>
        <w:rPr>
          <w:rFonts w:ascii="Consolas" w:hAnsi="Consolas"/>
          <w:color w:val="264356"/>
          <w:sz w:val="16"/>
        </w:rPr>
        <w:t>dotnet restore Consultorio.slnx</w:t>
        <w:br/>
        <w:t>dotnet build Consultorio.slnx</w:t>
      </w:r>
    </w:p>
    <w:p>
      <w:pPr>
        <w:pStyle w:val="Heading1"/>
      </w:pPr>
      <w:r>
        <w:t>5. Instalação da base de dados</w:t>
      </w:r>
    </w:p>
    <w:p>
      <w:pPr>
        <w:pStyle w:val="Heading2"/>
      </w:pPr>
      <w:r>
        <w:t>5.1. Estratégia recomendada para uma instalação nova</w:t>
      </w:r>
    </w:p>
    <w:p>
      <w:r>
        <w:t>A estrutura original foi criada com scripts SQL no SSMS e posteriormente atualizada por duas migrations. O ficheiro ConsultorioDemo_Estrutura.sql exportado em 14/10/2026 representa o esquema FINAL das dez tabelas funcionais. Para uma instalação nova baseada nesse ficheiro, não aplicar Update-Database automaticamente.</w:t>
      </w:r>
    </w:p>
    <w:p>
      <w:r>
        <w:t>1. No SSMS, ligar à instância SQL Server de destino.</w:t>
      </w:r>
    </w:p>
    <w:p>
      <w:r>
        <w:t>2. Criar uma base de dados vazia com o nome ConsultorioDemo, caso ainda não exista.</w:t>
      </w:r>
    </w:p>
    <w:p>
      <w:r>
        <w:t>3. Abrir ConsultorioDemo_Estrutura.sql numa janela de consulta.</w:t>
      </w:r>
    </w:p>
    <w:p>
      <w:r>
        <w:t>4. Selecionar explicitamente a base de dados ConsultorioDemo na lista de bases de dados da janela de consulta.</w:t>
      </w:r>
    </w:p>
    <w:p>
      <w:r>
        <w:t>5. Confirmar que a base está vazia e executar o script uma única vez.</w:t>
      </w:r>
    </w:p>
    <w:p>
      <w:r>
        <w:t>6. Atualizar Tables no Object Explorer e confirmar a criação das dez tabelas.</w:t>
      </w:r>
    </w:p>
    <w:p>
      <w:pPr>
        <w:ind w:left="283"/>
      </w:pPr>
      <w:r>
        <w:rPr>
          <w:rFonts w:ascii="Consolas" w:hAnsi="Consolas"/>
          <w:color w:val="264356"/>
          <w:sz w:val="16"/>
        </w:rPr>
        <w:t>CREATE DATABASE [ConsultorioDemo];</w:t>
        <w:br/>
        <w:t>GO</w:t>
        <w:br/>
        <w:t>-- Executar separadamente e apenas se a base ainda não existir.</w:t>
      </w:r>
    </w:p>
    <w:p>
      <w:r>
        <w:t>ATENÇÃO: o script exportado não contém CREATE DATABASE nem USE [ConsultorioDemo]. Verificar o contexto da janela de consulta antes de o executar. Não executar sobre a base de dados de desenvolvimento existente.</w:t>
      </w:r>
    </w:p>
    <w:p>
      <w:pPr>
        <w:pStyle w:val="Heading2"/>
      </w:pPr>
      <w:r>
        <w:t>5.2. Objetos incluídos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87"/>
        <w:gridCol w:w="4787"/>
      </w:tblGrid>
      <w:tr>
        <w:tc>
          <w:tcPr>
            <w:tcW w:type="dxa" w:w="4787"/>
          </w:tcPr>
          <w:p>
            <w:r>
              <w:t>Tabelas (10)</w:t>
            </w:r>
          </w:p>
        </w:tc>
        <w:tc>
          <w:tcPr>
            <w:tcW w:type="dxa" w:w="4787"/>
          </w:tcPr>
          <w:p>
            <w:r>
              <w:t>AtosClinicos, Consultas, Especialidades, HorariosMedicos, IndisponibilidadesMedicos, Medicos, Pagamentos, PerfisDemo, TiposAtos, Utentes</w:t>
            </w:r>
          </w:p>
        </w:tc>
      </w:tr>
      <w:tr>
        <w:tc>
          <w:tcPr>
            <w:tcW w:type="dxa" w:w="4787"/>
          </w:tcPr>
          <w:p>
            <w:r>
              <w:t>Integridade</w:t>
            </w:r>
          </w:p>
        </w:tc>
        <w:tc>
          <w:tcPr>
            <w:tcW w:type="dxa" w:w="4787"/>
          </w:tcPr>
          <w:p>
            <w:r>
              <w:t>Chaves primárias, 8 chaves estrangeiras, 6 índices adicionais, valores predefinidos e restrições CHECK.</w:t>
            </w:r>
          </w:p>
        </w:tc>
      </w:tr>
      <w:tr>
        <w:tc>
          <w:tcPr>
            <w:tcW w:type="dxa" w:w="4787"/>
          </w:tcPr>
          <w:p>
            <w:r>
              <w:t>Dados</w:t>
            </w:r>
          </w:p>
        </w:tc>
        <w:tc>
          <w:tcPr>
            <w:tcW w:type="dxa" w:w="4787"/>
          </w:tcPr>
          <w:p>
            <w:r>
              <w:t>Exportação Schema only: não contém registos INSERT nem dados de demonstração.</w:t>
            </w:r>
          </w:p>
        </w:tc>
      </w:tr>
    </w:tbl>
    <w:p>
      <w:pPr>
        <w:pStyle w:val="Heading2"/>
      </w:pPr>
      <w:r>
        <w:t>5.3. Migrations e histórico do EF Core</w:t>
      </w:r>
    </w:p>
    <w:p>
      <w:r>
        <w:t>A pasta Consultorio.Infrastructure/Migrations contém as migrations AdicionarDuracaoConsulta (20261012163641) e AdicionarDisponibilidadeMedicos (20261013095038), além do snapshot do modelo. O script final já contém DuracaoMinutos e IndisponibilidadesMedicos.</w:t>
      </w:r>
    </w:p>
    <w:p>
      <w:r>
        <w:t>A tabela __EFMigrationsHistory foi excluída da exportação. Por isso, a base criada por este script não tem histórico de migrations. Não executar Update-Database nessa base sem estabelecer previamente uma estratégia de baseline e verificar o estado do esquema; caso contrário podem ocorrer erros de duplicação de colunas ou tabelas.</w:t>
      </w:r>
    </w:p>
    <w:p>
      <w:r>
        <w:t>Para futuras evoluções, recomenda-se definir uma migration inicial/baseline coerente com o esquema exportado, testá-la numa base descartável e documentar a reconciliação do histórico. Esta operação não faz parte da instalação básica descrita neste guia.</w:t>
      </w:r>
    </w:p>
    <w:p>
      <w:pPr>
        <w:pStyle w:val="Heading1"/>
      </w:pPr>
      <w:r>
        <w:t>6. Configuração da ligação SQL Server</w:t>
      </w:r>
    </w:p>
    <w:p>
      <w:r>
        <w:t>No Program.cs, a ligação é lida da chave ConnectionStrings:Consultorio e passada a UseSqlServer. Para desenvolvimento local, usar um ficheiro appsettings.Development.json, que deve permanecer excluído do Git.</w:t>
      </w:r>
    </w:p>
    <w:p>
      <w:pPr>
        <w:ind w:left="283"/>
      </w:pPr>
      <w:r>
        <w:rPr>
          <w:rFonts w:ascii="Consolas" w:hAnsi="Consolas"/>
          <w:color w:val="264356"/>
          <w:sz w:val="16"/>
        </w:rPr>
        <w:t>{</w:t>
        <w:br/>
        <w:t xml:space="preserve">  "ConnectionStrings": {</w:t>
        <w:br/>
        <w:t xml:space="preserve">    "Consultorio": "Server=SERVIDOR\\INSTANCIA;Database=ConsultorioDemo;Trusted_Connection=True;TrustServerCertificate=True"</w:t>
        <w:br/>
        <w:t xml:space="preserve">  }</w:t>
        <w:br/>
        <w:t>}</w:t>
      </w:r>
    </w:p>
    <w:p>
      <w:r>
        <w:t>Substituir SERVIDOR\INSTANCIA pelo servidor real. Se usar autenticação integrada, a conta Windows deve ter acesso à base. A opção TrustServerCertificate=True é aceitável apenas quando justificada no ambiente local; rever a segurança TLS em ambientes reais.</w:t>
      </w:r>
    </w:p>
    <w:p>
      <w:r>
        <w:t>Não guardar palavras-passe, tokens ou outras credenciais em ficheiros versionados. Confirmar que appsettings.Development.json está abrangido pelo .gitignore.</w:t>
      </w:r>
    </w:p>
    <w:p>
      <w:pPr>
        <w:pStyle w:val="Heading1"/>
      </w:pPr>
      <w:r>
        <w:t>7. Compilação e execução</w:t>
      </w:r>
    </w:p>
    <w:p>
      <w:r>
        <w:t>1. Confirmar que a base ConsultorioDemo existe e contém as dez tabelas.</w:t>
      </w:r>
    </w:p>
    <w:p>
      <w:r>
        <w:t>2. Verificar a connection string no ambiente Development.</w:t>
      </w:r>
    </w:p>
    <w:p>
      <w:r>
        <w:t>3. Selecionar Consultorio.Web como Startup Project no Visual Studio.</w:t>
      </w:r>
    </w:p>
    <w:p>
      <w:r>
        <w:t>4. Executar Build → Build Solution e confirmar que não existem erros.</w:t>
      </w:r>
    </w:p>
    <w:p>
      <w:r>
        <w:t>5. Iniciar a aplicação com F5 ou Ctrl+F5 e abrir o endereço HTTPS local indicado pelo Visual Studio.</w:t>
      </w:r>
    </w:p>
    <w:p>
      <w:r>
        <w:t>6. Confirmar que a página inicial Dashboard/Index carrega sem erros de ligação.</w:t>
      </w:r>
    </w:p>
    <w:p>
      <w:pPr>
        <w:ind w:left="283"/>
      </w:pPr>
      <w:r>
        <w:rPr>
          <w:rFonts w:ascii="Consolas" w:hAnsi="Consolas"/>
          <w:color w:val="264356"/>
          <w:sz w:val="16"/>
        </w:rPr>
        <w:t>dotnet run --project Consultorio.Web</w:t>
      </w:r>
    </w:p>
    <w:p>
      <w:r>
        <w:t>O Program.cs não invoca Database.Migrate() nem EnsureCreated(): a aplicação não cria nem altera automaticamente a estrutura SQL durante o arranque.</w:t>
      </w:r>
    </w:p>
    <w:p>
      <w:pPr>
        <w:pStyle w:val="Heading1"/>
      </w:pPr>
      <w:r>
        <w:t>8. Validação funcional</w:t>
      </w:r>
    </w:p>
    <w:p>
      <w:pPr>
        <w:pStyle w:val="ListBullet"/>
      </w:pPr>
      <w:r>
        <w:t>Abrir o dashboard e confirmar que não existem erros de acesso à base de dados.</w:t>
      </w:r>
    </w:p>
    <w:p>
      <w:pPr>
        <w:pStyle w:val="ListBullet"/>
      </w:pPr>
      <w:r>
        <w:t>Consultar e registar um utente fictício.</w:t>
      </w:r>
    </w:p>
    <w:p>
      <w:pPr>
        <w:pStyle w:val="ListBullet"/>
      </w:pPr>
      <w:r>
        <w:t>Consultar médicos e especialidades.</w:t>
      </w:r>
    </w:p>
    <w:p>
      <w:pPr>
        <w:pStyle w:val="ListBullet"/>
      </w:pPr>
      <w:r>
        <w:t>Configurar horários e indisponibilidades de um médico fictício.</w:t>
      </w:r>
    </w:p>
    <w:p>
      <w:pPr>
        <w:pStyle w:val="ListBullet"/>
      </w:pPr>
      <w:r>
        <w:t>Criar uma consulta de teste e verificar as validações de disponibilidade e sobreposição.</w:t>
      </w:r>
    </w:p>
    <w:p>
      <w:pPr>
        <w:pStyle w:val="ListBullet"/>
      </w:pPr>
      <w:r>
        <w:t>Registar atos clínicos e pagamentos fictícios; confirmar a apresentação na interface.</w:t>
      </w:r>
    </w:p>
    <w:p>
      <w:pPr>
        <w:pStyle w:val="ListBullet"/>
      </w:pPr>
      <w:r>
        <w:t>Verificar a agenda semanal e a consistência dos dados após recarregar as páginas.</w:t>
      </w:r>
    </w:p>
    <w:p>
      <w:r>
        <w:t>Uma base criada com Schema only estará vazia. Se a aplicação depender de registos de configuração ou dados de referência, poderá ser necessário preparar um script separado de seed fictício, ainda não fornecido nem validado.</w:t>
      </w:r>
    </w:p>
    <w:p>
      <w:pPr>
        <w:pStyle w:val="Heading1"/>
      </w:pPr>
      <w:r>
        <w:t>9. Resolução de problemas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87"/>
        <w:gridCol w:w="4787"/>
      </w:tblGrid>
      <w:tr>
        <w:tc>
          <w:tcPr>
            <w:tcW w:type="dxa" w:w="4787"/>
          </w:tcPr>
          <w:p>
            <w:r>
              <w:t>Sintoma</w:t>
            </w:r>
          </w:p>
        </w:tc>
        <w:tc>
          <w:tcPr>
            <w:tcW w:type="dxa" w:w="4787"/>
          </w:tcPr>
          <w:p>
            <w:r>
              <w:t>Verificações recomendadas</w:t>
            </w:r>
          </w:p>
        </w:tc>
      </w:tr>
      <w:tr>
        <w:tc>
          <w:tcPr>
            <w:tcW w:type="dxa" w:w="4787"/>
          </w:tcPr>
          <w:p>
            <w:r>
              <w:t>Falha de ligação SQL</w:t>
            </w:r>
          </w:p>
        </w:tc>
        <w:tc>
          <w:tcPr>
            <w:tcW w:type="dxa" w:w="4787"/>
          </w:tcPr>
          <w:p>
            <w:r>
              <w:t>Nome da instância, serviço SQL Server, autenticação Windows, permissões e connection string.</w:t>
            </w:r>
          </w:p>
        </w:tc>
      </w:tr>
      <w:tr>
        <w:tc>
          <w:tcPr>
            <w:tcW w:type="dxa" w:w="4787"/>
          </w:tcPr>
          <w:p>
            <w:r>
              <w:t>Invalid object name</w:t>
            </w:r>
          </w:p>
        </w:tc>
        <w:tc>
          <w:tcPr>
            <w:tcW w:type="dxa" w:w="4787"/>
          </w:tcPr>
          <w:p>
            <w:r>
              <w:t>Base de dados selecionada, script executado integralmente e nome das tabelas.</w:t>
            </w:r>
          </w:p>
        </w:tc>
      </w:tr>
      <w:tr>
        <w:tc>
          <w:tcPr>
            <w:tcW w:type="dxa" w:w="4787"/>
          </w:tcPr>
          <w:p>
            <w:r>
              <w:t>Falha ao restaurar NuGet</w:t>
            </w:r>
          </w:p>
        </w:tc>
        <w:tc>
          <w:tcPr>
            <w:tcW w:type="dxa" w:w="4787"/>
          </w:tcPr>
          <w:p>
            <w:r>
              <w:t>Conectividade, fontes NuGet, SDK .NET 10 e dependências dos projetos.</w:t>
            </w:r>
          </w:p>
        </w:tc>
      </w:tr>
      <w:tr>
        <w:tc>
          <w:tcPr>
            <w:tcW w:type="dxa" w:w="4787"/>
          </w:tcPr>
          <w:p>
            <w:r>
              <w:t>Erro de coluna/tabela duplicada em migration</w:t>
            </w:r>
          </w:p>
        </w:tc>
        <w:tc>
          <w:tcPr>
            <w:tcW w:type="dxa" w:w="4787"/>
          </w:tcPr>
          <w:p>
            <w:r>
              <w:t>Não aplicar migrations já refletidas no script final; verificar histórico e baseline.</w:t>
            </w:r>
          </w:p>
        </w:tc>
      </w:tr>
      <w:tr>
        <w:tc>
          <w:tcPr>
            <w:tcW w:type="dxa" w:w="4787"/>
          </w:tcPr>
          <w:p>
            <w:r>
              <w:t>Dashboard sem dados</w:t>
            </w:r>
          </w:p>
        </w:tc>
        <w:tc>
          <w:tcPr>
            <w:tcW w:type="dxa" w:w="4787"/>
          </w:tcPr>
          <w:p>
            <w:r>
              <w:t>A exportação contém apenas o esquema; introduzir dados fictícios de teste.</w:t>
            </w:r>
          </w:p>
        </w:tc>
      </w:tr>
    </w:tbl>
    <w:p>
      <w:pPr>
        <w:pStyle w:val="Heading1"/>
      </w:pPr>
      <w:r>
        <w:t>10. Segurança, publicação e limitações</w:t>
      </w:r>
    </w:p>
    <w:p>
      <w:pPr>
        <w:pStyle w:val="ListBullet"/>
      </w:pPr>
      <w:r>
        <w:t>O projeto é uma POC; não utilizar dados clínicos reais sem análise de segurança, RGPD e requisitos legais aplicáveis.</w:t>
      </w:r>
    </w:p>
    <w:p>
      <w:pPr>
        <w:pStyle w:val="ListBullet"/>
      </w:pPr>
      <w:r>
        <w:t>Antes de tornar o GitHub público, verificar segredos, configurações locais, ficheiros corporativos, dados e histórico Git.</w:t>
      </w:r>
    </w:p>
    <w:p>
      <w:pPr>
        <w:pStyle w:val="ListBullet"/>
      </w:pPr>
      <w:r>
        <w:t>A existência de perfis de demonstração não comprova autenticação ou autorização robusta.</w:t>
      </w:r>
    </w:p>
    <w:p>
      <w:pPr>
        <w:pStyle w:val="ListBullet"/>
      </w:pPr>
      <w:r>
        <w:t>Não disponibilizar cópias da base de dados de trabalho; partilhar apenas scripts de estrutura e dados fictícios autorizados.</w:t>
      </w:r>
    </w:p>
    <w:p>
      <w:pPr>
        <w:pStyle w:val="Heading1"/>
      </w:pPr>
      <w:r>
        <w:t>11. Referências técnicas e ficheiros</w:t>
      </w:r>
    </w:p>
    <w:p>
      <w:pPr>
        <w:pStyle w:val="ListBullet"/>
      </w:pPr>
      <w:r>
        <w:t>ConsultorioDemo_Estrutura.sql — exportação de estrutura SQL Server, 14/10/2026.</w:t>
      </w:r>
    </w:p>
    <w:p>
      <w:pPr>
        <w:pStyle w:val="ListBullet"/>
      </w:pPr>
      <w:r>
        <w:t>Consultorio.Web/Program.cs — configuração MVC, EF Core e rota inicial.</w:t>
      </w:r>
    </w:p>
    <w:p>
      <w:pPr>
        <w:pStyle w:val="ListBullet"/>
      </w:pPr>
      <w:r>
        <w:t>Consultorio.Infrastructure/Migrations — duas migrations e snapshot do modelo.</w:t>
      </w:r>
    </w:p>
    <w:p>
      <w:pPr>
        <w:pStyle w:val="ListBullet"/>
      </w:pPr>
      <w:r>
        <w:t>Consultorio.slnx — solução com quatro projetos.</w:t>
      </w:r>
    </w:p>
    <w:p>
      <w:r>
        <w:t>Validação pendente antes de considerar o guia totalmente reproduzível: testar instalação de raiz numa base vazia e confirmar eventual necessidade de dados de referência/seed. Não foi executada uma instalação independente durante a elaboração deste documento.</w:t>
      </w:r>
    </w:p>
    <w:sectPr w:rsidR="00FC693F" w:rsidRPr="0006063C" w:rsidSect="00034616">
      <w:footerReference w:type="default" r:id="rId9"/>
      <w:pgSz w:w="12240" w:h="15840"/>
      <w:pgMar w:top="1191" w:right="1304" w:bottom="107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Consultório Privado  |  Guia Técnico de Instalação e Configuração  |  POC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7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