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Label Alignment, Fair Domain Adaptation and Edge Deployment for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can raise agricultural productivity, particularly in smallholder farming contexts where expert agronomists are unavailable [1,2]. Deep learning models trained on PlantVillage [3] reach near-perfect accuracy under controlled, single-leaf-on-uniform-background conditions [4–6], yet several practical barriers stand between such models and field deployment [7,8].</w:t>
      </w:r>
    </w:p>
    <w:p>
      <w:pPr>
        <w:pStyle w:val="MDPI31text"/>
      </w:pPr>
      <w:r>
        <w:t xml:space="preserve">The first barrier is label-space mismatch. Agricultural image datasets are collected and annotated independently, so their class vocabularies are incompatible: PlantVillage uses</w:t>
      </w:r>
      <w:r>
        <w:t xml:space="preserve"> </w:t>
      </w:r>
      <w:r>
        <w:rPr/>
        <w:t xml:space="preserve">Crop___Disease</w:t>
      </w:r>
      <w:r>
        <w:t xml:space="preserve"> </w:t>
      </w:r>
      <w:r>
        <w:t xml:space="preserve">labels, whereas PlantDoc [9] follows different naming conventions. Before any cross-dataset evaluation can occur, a shared label vocabulary has to be constructed.</w:t>
      </w:r>
    </w:p>
    <w:p>
      <w:pPr>
        <w:pStyle w:val="MDPI31text"/>
      </w:pPr>
      <w:r>
        <w:t xml:space="preserve">The second is visual domain shift. Even for classes with matching labels, PlantVillage images are captured under controlled conditions, while field images include complex backgrounds, natural lighting variation and occlusion [7,10]. A ResNet-50 trained on PlantVillage reaches macro-F1 = 0.969 on the PlantVillage test set but only 0.154 on PlantDoc over the same 18 classes, a drop of 0.81 in macro-F1 (Table 1).</w:t>
      </w:r>
    </w:p>
    <w:p>
      <w:pPr>
        <w:pStyle w:val="MDPI31text"/>
      </w:pPr>
      <w:r>
        <w:t xml:space="preserve">The third is the edge device. Field deployment typically requires inference on battery-powered, low-cost hardware. A model of the size of ResNet-50 runs at approximately 5 frames per second on a Raspberry Pi CPU, which is insufficient for real-time monitoring.</w:t>
      </w:r>
    </w:p>
    <w:p>
      <w:pPr>
        <w:pStyle w:val="MDPI31text"/>
      </w:pPr>
      <w:r>
        <w:t xml:space="preserve">We do not propose a new training algorithm. Instead, we systematically study the design choices available to a practitioner who wants to transfer plant disease recognition from PlantVillage to field conditions under a fair, protocol-audited evaluation. Figure 1 gives an overview of the study, and its contributions are the following.</w:t>
      </w:r>
    </w:p>
    <w:p>
      <w:pPr>
        <w:pStyle w:val="MDPI37itemize"/>
        <w:numPr>
          <w:ilvl w:val="0"/>
          <w:numId w:val="9"/>
        </w:numPr>
      </w:pPr>
      <w:r>
        <w:t xml:space="preserve">A controlled comparison of the fuzzy, SBERT and hybrid label-space alignment strategies, evaluated on the same shared class subset.</w:t>
      </w:r>
    </w:p>
    <w:p>
      <w:pPr>
        <w:pStyle w:val="MDPI37itemize"/>
      </w:pPr>
      <w:r>
        <w:t xml:space="preserve">A five-family UDA benchmark under a strict fair protocol: source-validation checkpoint selection and no target test labels at any stage. We document three defects in our own earlier results (test-set checkpoint selection in the domain-adversarial runs, an in-sample supervised upper bound, and a source-only baseline whose stored predictions did not match the archived checkpoints) and provide corrected numbers.</w:t>
      </w:r>
    </w:p>
    <w:p>
      <w:pPr>
        <w:pStyle w:val="MDPI37itemize"/>
      </w:pPr>
      <w:r>
        <w:t xml:space="preserve">A generalizability evaluation on PlantWild v2 [11] (17 shared classes, 2,336 images of a 115-class, 11,488-image web-scraped dataset).</w:t>
      </w:r>
    </w:p>
    <w:p>
      <w:pPr>
        <w:pStyle w:val="MDPI37itemize"/>
      </w:pPr>
      <w:r>
        <w:t xml:space="preserve">A real-device edge benchmark of latency and throughput for five architectures on a Raspberry Pi 4 with a Coral USB Edge TPU.</w:t>
      </w:r>
    </w:p>
    <w:p>
      <w:pPr>
        <w:pStyle w:val="MDPI37itemize"/>
      </w:pPr>
      <w:r>
        <w:t xml:space="preserve">A conversion-fidelity audit with INT8 accuracy measurement.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52figure"/>
      </w:pPr>
      <w:r>
        <w:drawing>
          <wp:inline xmlns:a="http://schemas.openxmlformats.org/drawingml/2006/main">
            <wp:extent cx="6609909" cy="5405437"/>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405437"/>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5.4 discusses them jointly.</w:t>
      </w:r>
    </w:p>
    <w:p>
      <w:pPr>
        <w:pStyle w:val="MDPI31text"/>
      </w:pPr>
      <w:r>
        <w:t xml:space="preserve">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3.4), which reflects the inherent difficulty of the unsupervised setting.</w:t>
      </w:r>
    </w:p>
    <w:p>
      <w:pPr>
        <w:pStyle w:val="MDPI22heading2"/>
      </w:pPr>
      <w:r>
        <w:t xml:space="preserve">2.2. Unsupervised Domain Adaptation</w:t>
      </w:r>
    </w:p>
    <w:p>
      <w:pPr>
        <w:pStyle w:val="MDPI31text"/>
      </w:pPr>
      <w:r>
        <w:t xml:space="preserve">Classical UDA methods address distribution shift between labeled source and unlabeled target domains [14]. Second-order statistical alignment, Correlation Alignment (CORAL) [15], minimizes the Frobenius distance between covariance matrices; deep adaptation networks match higher-order moments through kernel embeddings [16]. Unconditional adversarial alignment, the Domain-Adversarial Neural Network (DANN) [17], uses a gradient reversal layer; ADDA [18] untangles the two domains with separate encoders. Conditional adversarial alignment, the Conditional Domain Adversarial Network (CDAN) [19], conditions the discriminator on the outer product of features and classifier predictions, optionally weighted by prediction entropy (CDAN+E). Minimum Class Confusion (MCC) [20] minimizes pairwise class confusion on target predictions without a discriminator. Adaptive Batch Normalization (AdaBN) [21] recalibrates running statistics from target images. We evaluate all five families under one fair protocol.</w:t>
      </w:r>
    </w:p>
    <w:p>
      <w:pPr>
        <w:pStyle w:val="MDPI22heading2"/>
      </w:pPr>
      <w:r>
        <w:t xml:space="preserve">2.3. Agriculture-Specific UDA</w:t>
      </w:r>
    </w:p>
    <w:p>
      <w:pPr>
        <w:pStyle w:val="MDPI31text"/>
      </w:pPr>
      <w:r>
        <w:t xml:space="preserve">Wu et al. [22]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t xml:space="preserve">Jeon et al. [23]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[24] combine a transformer-fused convolutional backbone with Wasserstein adversarial adaptation on PlantVillage and PlantDoc; Salman et al. [25] apply vision transformers with a mixture of experts to in-the-wild classification; Huan et al. [26]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2.4. Cross-Dataset Label-Space Alignment</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2.5.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(Model requirements of the Edge TPU compiler: https://coral.ai/docs/edgetpu/models-intro/#model-requirements (accessed on 12 September 2026).); architectures using Swish activations or squeeze-and-excitation blocks require CPU fallback. MobileNetV1/V2 [31,32] and EfficientNet-Lite (the mobile variant of EfficientNet [33], released as a model family without a separate publication) are designed for mobile and embedded inference; ResNet-50 [34] serves as the reference server-class architecture.</w:t>
      </w:r>
    </w:p>
    <w:p>
      <w:pPr>
        <w:pStyle w:val="MDPI21heading1"/>
      </w:pPr>
      <w:r>
        <w:t xml:space="preserve">3. Materials and Methods</w:t>
      </w:r>
    </w:p>
    <w:p>
      <w:pPr>
        <w:pStyle w:val="MDPI22heading2"/>
      </w:pPr>
      <w:r>
        <w:t xml:space="preserve">3.1. Datasets</w:t>
      </w:r>
    </w:p>
    <w:p>
      <w:pPr>
        <w:pStyle w:val="MDPI31text"/>
      </w:pPr>
      <w:r>
        <w:t xml:space="preserve">PlantVillage (source). The 38-class controlled-condition leaf disease dataset [3] is used in its segmented form (single leaves on a uniform dark background). After Hybrid alignment it contributes 18 shared classes, 17,195 training images, 3,678 validation images and 3,701 test images. A fixed, class-stratified 10% sample of the training split (1,720 images, shuffled with seed 42, disjoint from validation and test) serves as the calibration set for post-training quantization.</w:t>
      </w:r>
    </w:p>
    <w:p>
      <w:pPr>
        <w:pStyle w:val="MDPI31text"/>
      </w:pPr>
      <w:r>
        <w:t xml:space="preserve">PlantDoc (primary target). This is a 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3.3).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3.4). The adaptation images are therefore a subset of the evaluation images, which is the transductive UDA setting of the standard Office benchmarks [17], whereas the PlantWild v2 evaluation (Section 4.4) is inductive: no PlantWild image is seen before testing.</w:t>
      </w:r>
    </w:p>
    <w:p>
      <w:pPr>
        <w:pStyle w:val="MDPI31text"/>
      </w:pPr>
      <w:r>
        <w:t xml:space="preserve">PlantWild v2 (secondary target). This 115-class web-scraped dataset has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22heading2"/>
      </w:pPr>
      <w:r>
        <w:t xml:space="preserve">3.2. Problem Formulation</w:t>
      </w:r>
    </w:p>
    <w:p>
      <w:pPr>
        <w:pStyle w:val="MDPI31text"/>
      </w:pPr>
      <w:r>
        <w:t xml:space="preserve">Let X denote the image space. We define:</w:t>
      </w:r>
    </w:p>
    <w:p>
      <w:pPr>
        <w:pStyle w:val="MDPI38bullet"/>
      </w:pPr>
      <w:r>
        <w:t xml:space="preserve">Source domain. D_S = {(x_i, y_i)}, labeled PlantVillage images, label space Y_S (38 classes).</w:t>
      </w:r>
    </w:p>
    <w:p>
      <w:pPr>
        <w:pStyle w:val="MDPI38bullet"/>
      </w:pPr>
      <w:r>
        <w:t xml:space="preserve">Target domain. D_T = {x_j}, unlabeled target images (adaptation split only during training).</w:t>
      </w:r>
    </w:p>
    <w:p>
      <w:pPr>
        <w:pStyle w:val="MDPI38bullet"/>
      </w:pPr>
      <w:r>
        <w:t xml:space="preserve">Shared label space. Y_ST, a subset of Y_S ∩ Y_T, constructed by label-space alignment.</w:t>
      </w:r>
    </w:p>
    <w:p>
      <w:pPr>
        <w:pStyle w:val="MDPI31text"/>
      </w:pPr>
      <w:r>
        <w:t xml:space="preserve">Label-space alignment and feature-level adaptation are two distinct, sequential operations: alignment produces the class vocabulary and adaptation reduces the feature distribution gap. They are not jointly optimized.</w:t>
      </w:r>
    </w:p>
    <w:p>
      <w:pPr>
        <w:pStyle w:val="MDPI22heading2"/>
      </w:pPr>
      <w:r>
        <w:t xml:space="preserve">3.3. Label-Space Alignment</w:t>
      </w:r>
    </w:p>
    <w:p>
      <w:pPr>
        <w:pStyle w:val="MDPI31text"/>
      </w:pPr>
      <w:r>
        <w:t xml:space="preserve">All class names are normalized to lowercase with underscores replaced by spaces, and three matching strategies are compared.</w:t>
      </w:r>
    </w:p>
    <w:p>
      <w:pPr>
        <w:pStyle w:val="MDPI31text"/>
      </w:pPr>
      <w:r>
        <w:t xml:space="preserve">Fuzzy. Token-set ratio matching [27] with threshold ≥ 80; yields 16 aligned classes.</w:t>
      </w:r>
    </w:p>
    <w:p>
      <w:pPr>
        <w:pStyle w:val="MDPI31text"/>
      </w:pPr>
      <w:r>
        <w:t xml:space="preserve">SBERT. Cosine similarity between</w:t>
      </w:r>
      <w:r>
        <w:t xml:space="preserve"> </w:t>
      </w:r>
      <w:r>
        <w:rPr/>
        <w:t xml:space="preserve">all-MiniLM-L6-v2</w:t>
      </w:r>
      <w:r>
        <w:t xml:space="preserve"> </w:t>
      </w:r>
      <w:r>
        <w:t xml:space="preserve">sentence embeddings [28] with threshold ≥ 0.75; yields 15 classes.</w:t>
      </w:r>
    </w:p>
    <w:p>
      <w:pPr>
        <w:pStyle w:val="MDPI31text"/>
      </w:pPr>
      <w:r>
        <w:t xml:space="preserve">Hybrid. Fuzzy matching first, SBERT as a fallback; yields 18 classes.</w:t>
      </w:r>
    </w:p>
    <w:p>
      <w:pPr>
        <w:pStyle w:val="MDPI31text"/>
      </w:pPr>
      <w:r>
        <w:t xml:space="preserve">The SBERT threshold is a stable operating point rather than a tuned optimum: in the threshold sweep of Table S3, downstream macro-F1 is invariant for thresholds between 0.50 and 0.75 and decreases only at 0.80.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2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3),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3.4. Adaptation Methods and Training Protocol</w:t>
      </w:r>
    </w:p>
    <w:p>
      <w:pPr>
        <w:pStyle w:val="MDPI31text"/>
      </w:pPr>
      <w:r>
        <w:t xml:space="preserve">Protocol. Models are trained on the labeled source data D_S restricted to the shared classes Y_ST. During adaptation the unlabeled target adaptation images (a subset of the evaluation set, Section 3.1) are used for feature alignment only; target labels are never used at any stage of adaptation or checkpoint selection. The checkpoint is selected by maximizing source-domain validation macro-F1 on the 3,678 PlantVillage validation images, so no target information enters model selection. Throughout the paper, differences in macro-F1 are given in percentage points (pp; 1 pp = 0.01 macro-F1).</w:t>
      </w:r>
    </w:p>
    <w:p>
      <w:pPr>
        <w:pStyle w:val="MDPI31text"/>
      </w:pPr>
      <w:r>
        <w:t xml:space="preserve">Protocol audit. This protocol corrects an earlier result of ours. A prior DANN run (F1 = 0.277 ± 0.009) used target test labels for per-epoch checkpoint selection, which is a protocol violation. Under the fair protocol DANN reaches F1 = 0.246 ± 0.005 (3 seeds; seed 42: 0.240). All results in this paper use the fair protocol; the legacy result is retained for transparency only.</w:t>
      </w:r>
    </w:p>
    <w:p>
      <w:pPr>
        <w:pStyle w:val="MDPI31text"/>
      </w:pPr>
      <w:r>
        <w:t xml:space="preserve">Methods compared. Five UDA families are compared. AdaBN [21] updates the batch normalization running statistics from target images without any gradient step. CORAL [15] aligns the second-order feature covariance matrices with λ_CORAL = 0.1, which was not tuned on the target. DANN [17] performs unconditional adversarial alignment through gradient reversal. CDAN+E [19] performs conditional adversarial alignment on the outer product of features and predictions with entropy conditioning. MCC [20] minimizes target class confusion with temperature T = 2.5.</w:t>
      </w:r>
    </w:p>
    <w:p>
      <w:pPr>
        <w:pStyle w:val="MDPI31text"/>
      </w:pPr>
      <w:r>
        <w:t xml:space="preserve">Source-only models. The source-only models are ResNet-50 [34] networks (ImageNet pretrained) fine-tuned on the aligned PlantVillage training split with AdamW (lr = 3×10⁻⁴, weight decay 10⁻⁴), batch 32, a cosine learning-rate schedule, up to 30 epochs with early stopping (patience 5) on validation macro-F1, input 224 × 224, ImageNet normalization and training-time augmentation (horizontal flip, ±15° rotation, color jitter 0.2), with seed 42. Table 1 and the source-only predictions used for the bootstrap tests are obtained by re-evaluating the archived checkpoints, the same files that initialized all UDA runs and the edge exports, with the evaluation transform described above; the figures recorded at training time differ slightly and are discussed in Section 5.5.</w:t>
      </w:r>
    </w:p>
    <w:p>
      <w:pPr>
        <w:pStyle w:val="MDPI31text"/>
      </w:pPr>
      <w:r>
        <w:t xml:space="preserve">UDA models. All five UDA methods start from the same ImageNet-pretrained ResNet-50 and use AdamW (lr = 3×10⁻⁴, wd = 10⁻⁴), 20 epochs, batch 32, seeds {42, 43, 44} and identical data pipelines, with source-validation macro-F1 as the model-selection criterion. The loss implementations were unit-tested (20 tests, all passing). For the adversarial methods each source batch of 32 labeled images is paired with a target batch of 32 unlabeled images drawn cyclically from the PlantDoc adaptation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adaptation images with no gradient step.</w:t>
      </w:r>
    </w:p>
    <w:p>
      <w:pPr>
        <w:pStyle w:val="MDPI31text"/>
      </w:pPr>
      <w:r>
        <w:t xml:space="preserve">Supervised reference. The supervised reference is a ResNet-50 initialized from the source-only Hybrid model and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t xml:space="preserve">Edge models. The edge models (MobileNetV1, MobileNetV2, EfficientNet-Lite0, EfficientNet-B3 and ResNet-50) are each fine-tuned on the same aligned PlantVillage split with the source-only recipe above (18-class head, no domain adaptation) and then quantized (Section 3.5). Their purpose is to measure deployment cost per architecture; their target-domain accuracy is not part of the benchmark.</w:t>
      </w:r>
    </w:p>
    <w:p>
      <w:pPr>
        <w:pStyle w:val="MDPI31text"/>
      </w:pPr>
      <w:r>
        <w:t xml:space="preserve">Compute. 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3.5. Evaluation Metrics and Edge Measurement Setup</w:t>
      </w:r>
    </w:p>
    <w:p>
      <w:pPr>
        <w:pStyle w:val="MDPI31text"/>
      </w:pPr>
      <w:r>
        <w:t xml:space="preserve">Metrics and statistics. The primary metric is macro-F1; accuracy and balanced accuracy are secondary. Statistical uncertainty is reported as the paired bootstrap 95% confidence interval (CI) [35]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31text"/>
      </w:pPr>
      <w:r>
        <w:t xml:space="preserve">Edge setup and protocol. Edge measurements use a Raspberry Pi 4 Model B (8 GB RAM) with a Coral USB Edge TPU on USB 3.0, the Edge TPU compiler v16.0.384591198, TFLite runtime v2.14.0 on Debian 12 (Bookworm), Python 3.11.2 and</w:t>
      </w:r>
      <w:r>
        <w:t xml:space="preserve"> </w:t>
      </w:r>
      <w:r>
        <w:rPr/>
        <w:t xml:space="preserve">libedgetpu1-std</w:t>
      </w:r>
      <w:r>
        <w:t xml:space="preserve"> </w:t>
      </w:r>
      <w:r>
        <w:t xml:space="preserve">16.0. Each model is measured with 20 warm-up runs and 200 measured runs at batch 1 with 4 CPU threads; each timed run covers one interpreter invocation on a fixed synthetic input tensor (seed 42), so image decoding and preprocessing are excluded. We report mean latency, frames per second and model size (Table 5); latency standard deviation and p95 are given in Table S4. Model sizes are file sizes in MiB (2^20 bytes).</w:t>
      </w:r>
    </w:p>
    <w:p>
      <w:pPr>
        <w:pStyle w:val="MDPI31text"/>
      </w:pPr>
      <w:r>
        <w:t xml:space="preserve">Quantization. 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t xml:space="preserve">Conversion paths. 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4.6)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w:t>
      </w:r>
    </w:p>
    <w:p>
      <w:pPr>
        <w:pStyle w:val="MDPI31text"/>
      </w:pPr>
      <w:r>
        <w:t xml:space="preserve">Table 1 reports the zero-shot performance of the ResNet-50 trained on PlantVillage (PV) and evaluated on PlantDoc without adaptation, for each alignment strategy. The values come from the archived checkpoints re-evaluated with the canonical transform (Section 3.4). The strategies differ in class-set size, so the rows are not directly comparable; Table 3 provides the comparison on a common subset.</w:t>
      </w:r>
    </w:p>
    <w:p>
      <w:pPr>
        <w:pStyle w:val="MDPI41tablecaption"/>
      </w:pPr>
      <w:r>
        <w:rPr>
          <w:b/>
          <w:bCs/>
        </w:rPr>
        <w:t xml:space="preserve">Table 1.</w:t>
      </w:r>
      <w:r>
        <w:t xml:space="preserve"> </w:t>
      </w:r>
      <w:r>
        <w:t xml:space="preserve">Source-only macro-F1 per alignment strategy.</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22heading2"/>
      </w:pPr>
      <w:r>
        <w:t xml:space="preserve">4.2. UDA Benchmark on PlantDoc</w:t>
      </w:r>
    </w:p>
    <w:p>
      <w:pPr>
        <w:pStyle w:val="MDPI31text"/>
      </w:pPr>
      <w:r>
        <w:t xml:space="preserve">Table 2 summarizes the UDA benchmark on PlantDoc in the Hybrid label space (18 classes) under the fair protocol. Macro-F1 is the mean ± sample standard deviation over seeds 42, 43 and 44. The column Δ (3 seeds) is the mean difference to source-only in pp computed from unrounded values (source-only = 0.1539); Δ (seed 42) and its CI are the point estimate and the paired bootstrap 95% CI of the difference on the seed-42 predictions (n = 1,969, 2,000 resamples). The two Δ columns have different bases and are not expected to coincide. All methods use a ResNet-50 backbone.</w:t>
      </w:r>
    </w:p>
    <w:p>
      <w:pPr>
        <w:pStyle w:val="MDPI41tablecaption"/>
      </w:pPr>
      <w:r>
        <w:rPr>
          <w:b/>
          <w:bCs/>
        </w:rPr>
        <w:t xml:space="preserve">Table 2.</w:t>
      </w:r>
      <w:r>
        <w:t xml:space="preserve"> </w:t>
      </w:r>
      <w:r>
        <w:t xml:space="preserve">UDA benchmark on PlantDoc (Hybrid, 18 classes).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2: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t xml:space="preserve">DANN achieves the highest mean macro-F1 on PlantDoc (0.246 ± 0.005, +9.2 pp, bootstrap CI excludes zero), and CDAN+E is close (0.242 ± 0.026, +8.8 pp). The mean difference between DANN and CDAN+E is 0.004 macro-F1, which is small relative to the across-seed variability of CDAN+E (std = 0.026). DANN also outperforms CORAL (0.246 vs. 0.196); the earlier DANN macro-F1 of 0.277 was inflated by test-set checkpoint selection. MCC collapsed on all three seeds: the class-confusion objective caused source forgetting from the first epoch, source-validation macro-F1 never exceeded 0.28 in any run, and the selected checkpoints score 0.056–0.098 on the target, which confirms its incompatibility with small, imbalanced target datasets at default hyperparameters. AdaBN provides no benefit, so recalibrating batch normalization statistics alone is insufficient for this domain gap.</w:t>
      </w:r>
    </w:p>
    <w:p>
      <w:pPr>
        <w:pStyle w:val="MDPI31text"/>
      </w:pPr>
      <w:r>
        <w:t xml:space="preserve">A per-seed paired bootstrap of DANN against CDAN+E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the evidence is inconclusive rather than a demonstrated equivalence. DANN is, however, markedly more stable across seeds (std 0.005 vs. 0.026).</w:t>
      </w:r>
    </w:p>
    <w:p>
      <w:pPr>
        <w:pStyle w:val="MDPI22heading2"/>
      </w:pPr>
      <w:r>
        <w:t xml:space="preserve">4.3. Fair Cross-Strategy Comparison</w:t>
      </w:r>
    </w:p>
    <w:p>
      <w:pPr>
        <w:pStyle w:val="MDPI31text"/>
      </w:pPr>
      <w:r>
        <w:t xml:space="preserve">To compare the alignment strategies on identical test samples we restrict the evaluation to the 13 classes that all three class mappings share (n = 1,509 PlantDoc images). Table 3 re-scores the re-evaluated predictions of the seed-42 source-only models (Section 3.4) and the stored predictions of the earlier single-seed CORAL runs on these classes only; no model was retrained. The CORAL runs use the per-strategy λ from the sweep in Table S1, which was evaluated on the target split under the earlier protocol. With a single seed per cell no standard deviation or confidence interval is available.</w:t>
      </w:r>
    </w:p>
    <w:p>
      <w:pPr>
        <w:pStyle w:val="MDPI41tablecaption"/>
      </w:pPr>
      <w:r>
        <w:rPr>
          <w:b/>
          <w:bCs/>
        </w:rPr>
        <w:t xml:space="preserve">Table 3.</w:t>
      </w:r>
      <w:r>
        <w:t xml:space="preserve"> </w:t>
      </w:r>
      <w:r>
        <w:t xml:space="preserve">Baseline and CORAL macro-F1 on the shared 13-class subset.</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2 (1.2 pp), so with one seed per cell the gains are consistent with being equal, and the control shows that the CORAL gain is not an artifact of class-set size differences. The control was run for CORAL only; the adversarial methods were trained in the Hybrid space alone, so their gains in Table 2 have no cross-strategy counterpart. Figure 3 shows two-dimensional t-distributed stochastic neighbor embedding (t-SNE) projections (perplexity 30, PCA initialization, seed 42) of the ResNet-50 features of the seed-42 models before and after CORAL adaptation in the Hybrid label space.</w:t>
      </w:r>
    </w:p>
    <w:p>
      <w:pPr>
        <w:pStyle w:val="MDPI52figure"/>
      </w:pPr>
      <w:r>
        <w:drawing>
          <wp:inline xmlns:a="http://schemas.openxmlformats.org/drawingml/2006/main">
            <wp:extent cx="6609909" cy="2754129"/>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2754129"/>
                    </a:xfrm>
                    <a:prstGeom prst="rect"/>
                  </pic:spPr>
                </pic:pic>
              </a:graphicData>
            </a:graphic>
          </wp:inline>
        </w:drawing>
      </w:r>
    </w:p>
    <w:p>
      <w:pPr>
        <w:pStyle w:val="MDPI51figurecaption"/>
      </w:pPr>
      <w:r>
        <w:rPr>
          <w:b/>
        </w:rPr>
        <w:t xml:space="preserve">Figure 3. </w:t>
      </w:r>
      <w:r>
        <w:rPr/>
        <w:t>Two-dimensional t-SNE projection (scikit-learn, perplexity 30, PCA initialization, learning rate "auto", random state 42) of ResNet-50 penultimate-layer features on the PlantDoc evaluation set (Hybrid label space, one color per class): (a) source-only model (seed 42); (b) after CORAL adaptation (λ = 0.1, seed 42). CORAL tightens several class clusters but substantial overlap remains, consistent with the modest macro-F1 gain in Table 2.</w:t>
      </w:r>
    </w:p>
    <w:p>
      <w:pPr>
        <w:pStyle w:val="MDPI22heading2"/>
      </w:pPr>
      <w:r>
        <w:t xml:space="preserve">4.4. Generalizability: PlantWild v2</w:t>
      </w:r>
    </w:p>
    <w:p>
      <w:pPr>
        <w:pStyle w:val="MDPI31text"/>
      </w:pPr>
      <w:r>
        <w:t xml:space="preserve">We evaluate the Hybrid model on PlantWild v2 (115 classes, 11,488 web-scraped images; 46 of 115 classes align with PlantVillage at threshold 0.65). Table 4 reports the fair-protocol results with source-validation checkpoint selection and 3 seeds per method; the source-only row is the single seed-42 model. All methods are the 18-class Hybrid models adapted on PlantDoc unlabeled data; macro-F1 is computed over the 17 classes shared with PlantWild v2 (n = 2,336), and no adaptation on PlantWild images was performed. Δ src is computed from unrounded values (source-only = 0.1722).</w:t>
      </w:r>
    </w:p>
    <w:p>
      <w:pPr>
        <w:pStyle w:val="MDPI41tablecaption"/>
      </w:pPr>
      <w:r>
        <w:rPr>
          <w:b/>
          <w:bCs/>
        </w:rPr>
        <w:t xml:space="preserve">Table 4.</w:t>
      </w:r>
      <w:r>
        <w:t xml:space="preserve"> </w:t>
      </w:r>
      <w:r>
        <w:t xml:space="preserve">PlantWild v2 macro-F1 of the PlantDoc-adapted models.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t xml:space="preserve">Per seed, DANN scores 0.242, 0.226 and 0.247 (seeds 42, 43, 44) and CDAN+E 0.270, 0.195 and 0.224. Both methods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4.5. Edge Deployment: Latency and Throughput</w:t>
      </w:r>
    </w:p>
    <w:p>
      <w:pPr>
        <w:pStyle w:val="MDPI31text"/>
      </w:pPr>
      <w:r>
        <w:t xml:space="preserve">Table 5 reports the latency of the INT8 PTQ models with Hybrid 18-class heads on the Raspberry Pi 4 CPU (TFLite, 4 threads) and on the Coral USB Edge TPU, from 200 timed runs after 20 warm-up runs. Size is the INT8 TFLite file size in MiB (CPU file; the Edge TPU-compiled file differs by less than 0.5 MiB), and FPS is computed from the unrounded mean latency (e.g. 4.62 ms → 216 FPS). The measured files are the verified INT8 models of Section 3.5 (ONNX path; EfficientNet-Lite0 via the verified Keras path); each cell is one 200-run session, and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p>
      <w:pPr>
        <w:pStyle w:val="MDPI41tablecaption"/>
      </w:pPr>
      <w:r>
        <w:rPr>
          <w:b/>
          <w:bCs/>
        </w:rPr>
        <w:t xml:space="preserve">Table 5.</w:t>
      </w:r>
      <w:r>
        <w:t xml:space="preserve"> </w:t>
      </w:r>
      <w:r>
        <w:t xml:space="preserve">Edge latency, throughput and model size on Raspberry Pi 4 with Coral Edge TPU.</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and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w:t>
      </w:r>
    </w:p>
    <w:p>
      <w:pPr>
        <w:pStyle w:val="MDPI22heading2"/>
      </w:pPr>
      <w:r>
        <w:t xml:space="preserve">4.6. Conversion Fidelity and INT8 Accuracy</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 gives the macro-F1 of the converted models on the PlantVillage (PV, n = 3,701) and PlantDoc (PD, n = 1,969) test splits in the Hybrid label space. The reference is the PyTorch FP32 model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denotes the hand-written re-implementations of the first exports and</w:t>
      </w:r>
      <w:r>
        <w:t xml:space="preserve"> </w:t>
      </w:r>
      <w:r>
        <w:t xml:space="preserve">“ONNX→TFLite”</w:t>
      </w:r>
      <w:r>
        <w:t xml:space="preserve"> </w:t>
      </w:r>
      <w:r>
        <w:t xml:space="preserve">the verifiable path of Section 3.5; Δ is given in pp relative to the reference, and the last column lists the operations mapped by Edge TPU compiler 16.0.</w:t>
      </w:r>
    </w:p>
    <w:p>
      <w:pPr>
        <w:pStyle w:val="MDPI41tablecaption"/>
      </w:pPr>
      <w:r>
        <w:rPr>
          <w:b/>
          <w:bCs/>
        </w:rPr>
        <w:t xml:space="preserve">Table 6.</w:t>
      </w:r>
      <w:r>
        <w:t xml:space="preserve"> </w:t>
      </w:r>
      <w:r>
        <w:t xml:space="preserve">Macro-F1 of the converted models against their PyTorch checkpoints.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from Table 6.</w:t>
      </w:r>
    </w:p>
    <w:p>
      <w:pPr>
        <w:pStyle w:val="MDPI37itemize"/>
        <w:numPr>
          <w:ilvl w:val="0"/>
          <w:numId w:val="10"/>
        </w:numPr>
      </w:pPr>
      <w:r>
        <w:t xml:space="preserve">The first-generation exports were unusable for MobileNetV1, MobileNetV2 and EfficientNet-B3: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w:t>
      </w:r>
    </w:p>
    <w:p>
      <w:pPr>
        <w:pStyle w:val="MDPI37itemize"/>
      </w:pPr>
      <w:r>
        <w:t xml:space="preserve">With a faithful conversion, INT8 quantization is nearly free for the deployable architectures.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w:t>
      </w:r>
    </w:p>
    <w:p>
      <w:pPr>
        <w:pStyle w:val="MDPI37itemize"/>
      </w:pPr>
      <w:r>
        <w:t xml:space="preserve">EfficientNet-B3 does not quantize well under post-training INT8 (−2.6 pp on PlantVillage, −11 pp on PlantDoc) and, being non-delegable, offers no advantage on this hardware.</w:t>
      </w:r>
    </w:p>
    <w:p>
      <w:pPr>
        <w:pStyle w:val="MDPI37itemize"/>
      </w:pPr>
      <w:r>
        <w:t xml:space="preserve">The backbone may matter as much as the adaptation method. 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does not contradict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so the verified files are as fast as or slightly faster than the defective ones, and the ranking is unchanged.</w:t>
      </w:r>
    </w:p>
    <w:p>
      <w:pPr>
        <w:pStyle w:val="MDPI21heading1"/>
      </w:pPr>
      <w:r>
        <w:t xml:space="preserve">5. Discussion</w:t>
      </w:r>
    </w:p>
    <w:p>
      <w:pPr>
        <w:pStyle w:val="MDPI22heading2"/>
      </w:pPr>
      <w:r>
        <w:t xml:space="preserve">5.1. What Helps</w:t>
      </w:r>
    </w:p>
    <w:p>
      <w:pPr>
        <w:pStyle w:val="MDPI31text"/>
      </w:pPr>
      <w:r>
        <w:t xml:space="preserve">Adversarial alignment gives the largest gains on both field targets. DANN reaches 0.246 ± 0.005 (+9.2 pp) on PlantDoc and 0.238 ± 0.011 (+6.6 pp) on PlantWild v2; CDAN+E is close on both (0.242 ± 0.026, +8.8 pp; 0.230 ± 0.038, +5.7 pp). Both outperform CORAL (0.196 ± 0.012 on PlantDoc). DANN is ahead of CORAL under the fair protocol on PlantDoc (0.246 vs. 0.196, both bootstrap-significant against source-only). DANN and CDAN+E cannot be separated with three seeds, and DANN is the more stable of the two (std 0.005 vs. 0.026 on PlantDoc, 0.011 vs. 0.038 on PlantWild v2).</w:t>
      </w:r>
    </w:p>
    <w:p>
      <w:pPr>
        <w:pStyle w:val="MDPI31text"/>
      </w:pPr>
      <w:r>
        <w:t xml:space="preserve">CORAL is the safest low-cost option. It has no discriminator, no adversarial schedule, one hyperparameter that, in the fair benchmark, was not tuned on the target (λ = 0.1), and a modest but consistent gain (Table 3: +2.3 to +3.8 pp across all three label spaces on the shared subset, earlier protocol, single seed). Its seed spread (0.012) is larger than DANN’s, but its training never failed in any configuration here or in the companion study [12].</w:t>
      </w:r>
    </w:p>
    <w:p>
      <w:pPr>
        <w:pStyle w:val="MDPI22heading2"/>
      </w:pPr>
      <w:r>
        <w:t xml:space="preserve">5.2. What Does Not Help</w:t>
      </w:r>
    </w:p>
    <w:p>
      <w:pPr>
        <w:pStyle w:val="MDPI31text"/>
      </w:pPr>
      <w:r>
        <w:t xml:space="preserve">AdaBN provides no benefit (F1 = 0.155 vs. 0.154 source-only): recalibrating batch normalization statistics is insufficient for this domain gap. MCC failed on all three seeds, because the class-confusion objective caused source forgetting from the first training epoch on our small, imbalanced target dataset (1,568 images, 18 unbalanced classes); MCC is not suitable for this deployment scenario without significant hyperparameter adaptation. The label-alignment strategy does not strongly predict downstream UDA performance on the shared 13-class subset: CORAL improves all three strategies by +2.3 to +3.8 pp (single seed per cell, earlier protocol), which rules out class-set-size artifacts.</w:t>
      </w:r>
    </w:p>
    <w:p>
      <w:pPr>
        <w:pStyle w:val="MDPI22heading2"/>
      </w:pPr>
      <w:r>
        <w:t xml:space="preserve">5.3. Gap Analysis</w:t>
      </w:r>
    </w:p>
    <w:p>
      <w:pPr>
        <w:pStyle w:val="MDPI31text"/>
      </w:pPr>
      <w:r>
        <w:t xml:space="preserve">The held-out supervised reference (macro-F1 0.531 on 401 images, Section 3.4) quantifies the gap to the best unsupervised result (DANN on PlantDoc: 0.246): about 0.29 in macro-F1, so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that is, flagging leaves for human or laboratory confirmation and prioritizing field images for annotation, and the latency results of Section 4.5 establish only that on-device compute is not the limiting factor for such a workflow. Closing the accuracy gap, not the latency budget, is the bottleneck for deployment.</w:t>
      </w:r>
    </w:p>
    <w:p>
      <w:pPr>
        <w:pStyle w:val="MDPI22heading2"/>
      </w:pPr>
      <w:r>
        <w:t xml:space="preserve">5.4.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so the comparison is made at the level of its stated conclusions and protocol, and no figure from it is reproduced here.</w:t>
      </w:r>
    </w:p>
    <w:p>
      <w:pPr>
        <w:pStyle w:val="MDPI31text"/>
      </w:pPr>
      <w:r>
        <w:t xml:space="preserve">The first difference is model selection. The companion study evaluates a fixed training endpoint, whereas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 The second difference is the label space: the companion study uses a larger shared label space than the 18 Hybrid classes used here, and macro-F1 over a larger class set with rarer classes is both harder and noisier. The third is the number of seeds: the companion study uses more seeds than the three used here, and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5.5. Scope and Limitations</w:t>
      </w:r>
    </w:p>
    <w:p>
      <w:pPr>
        <w:pStyle w:val="MDPI31text"/>
      </w:pPr>
      <w:r>
        <w:t xml:space="preserve">All experiments use PlantVillage as the single source domain, and the alignment pipeline depends on</w:t>
      </w:r>
      <w:r>
        <w:t xml:space="preserve"> </w:t>
      </w:r>
      <w:r>
        <w:rPr/>
        <w:t xml:space="preserve">{crop} {disease}</w:t>
      </w:r>
      <w:r>
        <w:t xml:space="preserve"> </w:t>
      </w:r>
      <w:r>
        <w:t xml:space="preserve">naming: BeanDiseases, with disease-only labels, yields 0 aligned classes. The 18 class correspondences were constructed automatically and inspected by the author; they were not validated by an independent plant pathologist. Means and standard deviations rest on three seeds per method (the companion study uses five), and the bootstrap intervals in Table 2 describe sampling uncertainty over test images for one seed, not seed-to-seed variability. MCC was run with default hyperparameters, which are unsuitable for small, imbalanced targets; a tuned MCC might behave differently. All five adaptation methods were run on ResNet-50 only; Table 6 shows that a source-only EfficientNet-B3 already matches the adapted ResNet-50 on PlantDoc, so the ranking of methods may change with a stronger backbone.</w:t>
      </w:r>
    </w:p>
    <w:p>
      <w:pPr>
        <w:pStyle w:val="MDPI31text"/>
      </w:pPr>
      <w:r>
        <w:t xml:space="preserve">The evaluation protocol on PlantDoc is transductive: the unlabeled adaptation images are a subset of the evaluation set (Section 3.1). This is the usual UDA setting and no target label is ever used, but the PlantDoc numbers are not inductive estimates, whereas the PlantWild v2 results, obtained without seeing any PlantWild image, are. The supervised reference of 0.531 is one fine-tuning run (seed 42) evaluated on 401 held-out images that also served for early stopping; the 0.852 of our earlier versions was an in-sample score on the model’s own training images and is withdrawn, and a clean supervised reference needs a re-split of PlantDoc with a disjoint test set. The legacy DANN result (F1 = 0.277 ± 0.009) used target-test checkpoint selection; the fair-protocol results (F1 = 0.246 ± 0.005) are the canonical numbers, and all conclusions use the fair protocol.</w:t>
      </w:r>
    </w:p>
    <w:p>
      <w:pPr>
        <w:pStyle w:val="MDPI31text"/>
      </w:pPr>
      <w:r>
        <w:t xml:space="preserve">Three provenance issues concern the measurements themselves. First, 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3) and the bootstrap baseline of Table 2 use their re-evaluation (Hybrid 0.969 / 0.154); relative to the recorded figures this moves the PlantDoc baseline by −0.16 pp for Hybrid, −0.01 pp for Fuzzy and +1.85 pp for SBERT, and no conclusion changes. Both sets of predictions are included in the data deposit. Second, 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while Edge TPU figures were stable to within 0.6 ms. Third, INT8 accuracy was measured on the host: the TFLite interpreter on x86 executes the same integer kernels, but Edge TPU execution of the four compiled models was not verified end to end.</w:t>
      </w:r>
    </w:p>
    <w:p>
      <w:pPr>
        <w:pStyle w:val="MDPI21heading1"/>
      </w:pPr>
      <w:r>
        <w:t xml:space="preserve">6. Conclusions</w:t>
      </w:r>
    </w:p>
    <w:p>
      <w:pPr>
        <w:pStyle w:val="MDPI31text"/>
      </w:pPr>
      <w:r>
        <w:t xml:space="preserve">We presented a systematic empirical study of three practical bottlenecks in cross-dataset plant disease recognition, namely label-space mismatch, visual domain shift and edge-device constraints, using PlantVillage as source and PlantDoc and PlantWild v2 as field targets.</w:t>
      </w:r>
    </w:p>
    <w:p>
      <w:pPr>
        <w:pStyle w:val="MDPI31text"/>
      </w:pPr>
      <w:r>
        <w:t xml:space="preserve">Label alignment mainly determines class coverage, not adaptation quality. 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1text"/>
      </w:pPr>
      <w:r>
        <w:t xml:space="preserve">Under a fair, source-validation protocol, adversarial adaptation gives the largest gains. 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1text"/>
      </w:pPr>
      <w:r>
        <w:t xml:space="preserve">The protocol matters as much as the method. 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5.4).</w:t>
      </w:r>
    </w:p>
    <w:p>
      <w:pPr>
        <w:pStyle w:val="MDPI31text"/>
      </w:pPr>
      <w:r>
        <w:t xml:space="preserve">The unsupervised gap remains large, and the backbone is part of the answer. 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1text"/>
      </w:pPr>
      <w:r>
        <w:t xml:space="preserve">On-device compute is not the bottleneck; accuracy is. 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CORAL λ sweep for all three label spaces; Table S2, per-class F1 for the 18 Hybrid classes (source-only and CORAL); Table S3, SBERT threshold sweep (E1); Table S4, full edge benchmark metrics (latency standard deviation and p95, CPU load, memory, temperature) for all architecture × strategy × backend combinations; Table S5, complete conversion-fidelity audit (all variants, both splits, top-1 agreement); Table S6, the three class mappings; Figure S1,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1"/>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https://proceedings.mlr.press/v97/tan19a.html</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