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РЕГЛАМЕНТ</w:t>
      </w:r>
    </w:p>
    <w:p>
      <w:r>
        <w:t>обработки и защиты персональных данных в ГКУ «Центр социальной поддержки населения»</w:t>
      </w:r>
    </w:p>
    <w:p/>
    <w:p>
      <w:r>
        <w:t>1. Нормативная основа</w:t>
      </w:r>
    </w:p>
    <w:p>
      <w:r>
        <w:t>1.1. Регламент разработан на основании Федерального закона от 27.07.2006 № 152-ФЗ «О персональных данных», Федерального закона от 20.02.1995 № 24-ФЗ «Об информации, информатизации и защите информации» и Федерального закона от 10.01.2002 № 1-ФЗ «Об электронной цифровой подписи».</w:t>
      </w:r>
    </w:p>
    <w:p/>
    <w:p>
      <w:r>
        <w:t>2. Порядок обработки</w:t>
      </w:r>
    </w:p>
    <w:p>
      <w:r>
        <w:t>2.1. Документы, содержащие персональные данные, направляются в электронном виде с использованием электронной цифровой подписи (ЭЦП) ответственного сотрудника.</w:t>
      </w:r>
    </w:p>
    <w:p>
      <w:r>
        <w:t>2.2. Согласие на обработку персональных данных, в том числе на их распространение на официальном сайте, оформляется единым документом по форме приложения 1.</w:t>
      </w:r>
    </w:p>
    <w:p/>
    <w:p>
      <w:r>
        <w:t>3. Инциденты</w:t>
      </w:r>
    </w:p>
    <w:p>
      <w:r>
        <w:t>3.1. При выявлении неправомерной передачи персональных данных ответственный за организацию обработки уведомляет Роскомнадзор в течение трёх рабочих дней.</w:t>
      </w:r>
    </w:p>
    <w:p/>
    <w:p>
      <w:r>
        <w:t>4. Рабочие места</w:t>
      </w:r>
    </w:p>
    <w:p>
      <w:r>
        <w:t>4.1. Рабочие места операторов организуются в соответствии с СанПиН 2.2.2/2.4.1340-03 «Гигиенические требования к персональным электронно-вычислительным машинам и организации работы».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