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>
          <w:top w:val="single" w:sz="36" w:space="1" w:color="000000"/>
        </w:pBdr>
        <w:shd w:val="clear" w:fill="auto"/>
        <w:spacing w:lineRule="auto" w:line="240" w:before="240" w:after="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Cs w:val="4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Cs w:val="64"/>
          <w:u w:val="none"/>
          <w:shd w:fill="auto" w:val="clear"/>
          <w:vertAlign w:val="baseline"/>
        </w:rPr>
        <w:t>Documentação de Projeto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40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Cs w:val="40"/>
          <w:u w:val="none"/>
          <w:shd w:fill="auto" w:val="clear"/>
          <w:vertAlign w:val="baseline"/>
        </w:rPr>
        <w:t>para o sistema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Cs w:val="64"/>
          <w:u w:val="none"/>
          <w:shd w:fill="auto" w:val="clear"/>
          <w:vertAlign w:val="baseline"/>
        </w:rPr>
        <w:t>&lt;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64"/>
          <w:szCs w:val="64"/>
          <w:u w:val="none"/>
          <w:shd w:fill="auto" w:val="clear"/>
          <w:vertAlign w:val="baseline"/>
        </w:rPr>
        <w:t>Sitema de Gestão de Estoque e Entregas - SGEE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Cs w:val="64"/>
          <w:u w:val="none"/>
          <w:shd w:fill="auto" w:val="clear"/>
          <w:vertAlign w:val="baseline"/>
        </w:rPr>
        <w:t>&gt;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Versão 1.0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Projeto de sistema elaborado pelo aluno </w:t>
      </w:r>
      <w:r>
        <w:rPr>
          <w:rFonts w:eastAsia="Arial" w:cs="Arial" w:ascii="Arial" w:hAnsi="Arial"/>
        </w:rPr>
        <w:t>João Victor dos Santos Nogueira</w:t>
      </w:r>
      <w:r>
        <w:rPr>
          <w:rFonts w:eastAsia="Arial" w:cs="Arial" w:ascii="Arial" w:hAnsi="Arial"/>
        </w:rPr>
        <w:t xml:space="preserve">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</w:rPr>
        <w:t xml:space="preserve">como parte da disciplina </w:t>
      </w:r>
      <w:r>
        <w:rPr>
          <w:rFonts w:eastAsia="Arial" w:cs="Arial" w:ascii="Arial" w:hAnsi="Arial"/>
          <w:b/>
        </w:rPr>
        <w:t>Projeto de Software</w:t>
      </w:r>
      <w:r>
        <w:rPr>
          <w:rFonts w:eastAsia="Arial" w:cs="Arial" w:ascii="Arial" w:hAnsi="Arial"/>
        </w:rPr>
        <w:t>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&lt;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FF0000"/>
          <w:position w:val="0"/>
          <w:sz w:val="28"/>
          <w:szCs w:val="28"/>
          <w:u w:val="none"/>
          <w:shd w:fill="auto" w:val="clear"/>
          <w:vertAlign w:val="baseline"/>
        </w:rPr>
        <w:t>03/06/2026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&gt;</w:t>
      </w:r>
    </w:p>
    <w:p>
      <w:pPr>
        <w:pStyle w:val="normal1"/>
        <w:keepNext w:val="true"/>
        <w:keepLines/>
        <w:widowControl/>
        <w:pBdr/>
        <w:shd w:val="clear" w:fill="auto"/>
        <w:spacing w:lineRule="auto" w:line="240" w:before="120" w:after="240"/>
        <w:ind w:hanging="0" w:start="0" w:end="0"/>
        <w:jc w:val="start"/>
        <w:rPr>
          <w:rFonts w:ascii="Times" w:hAnsi="Times"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</w:pPr>
      <w:bookmarkStart w:id="0" w:name="_gjdgxs"/>
      <w:bookmarkEnd w:id="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Cs w:val="36"/>
          <w:u w:val="none"/>
          <w:shd w:fill="auto" w:val="clear"/>
          <w:vertAlign w:val="baseline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Vnculodendice"/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Vnculodendice"/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7ndxxnjxx1n1">
            <w:r>
              <w:rPr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1. Introdução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>
              <w:rPr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 Modelos de Usuário e Requisitos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2.1 Descrição de Atores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2.2 Modelo de Casos de Uso e Histórias de Usuários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02tpezvsrt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2.3 Diagrama de Sequência do Sistema e Contrato de Operações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>
              <w:rPr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 Modelos de Projeto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3.1 Arquitetura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3.2 Diagrama de Componentes e Implantação.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3.3 Diagrama de Classes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3.4 Diagramas de Sequência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3.5 Diagramas de Comunicação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>
              <w:rPr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3.6 Diagramas de Estados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>
              <w:rPr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4. Modelos de Dados</w:t>
              <w:tab/>
              <w:t>2</w:t>
            </w:r>
          </w:hyperlink>
          <w:r>
            <w:rPr>
              <w:rStyle w:val="Vnculodendice"/>
              <w:rFonts w:eastAsia="Times" w:cs="Times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true"/>
        <w:keepLines/>
        <w:widowControl/>
        <w:pBdr/>
        <w:spacing w:lineRule="auto" w:line="240" w:before="120" w:after="240"/>
        <w:ind w:hanging="0" w:start="0" w:end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1"/>
        <w:widowControl/>
        <w:pBdr/>
        <w:shd w:val="clear" w:fill="auto"/>
        <w:spacing w:lineRule="auto" w:line="240" w:before="120" w:after="240"/>
        <w:ind w:hanging="0" w:start="0" w:end="0"/>
        <w:jc w:val="start"/>
        <w:rPr>
          <w:b/>
          <w:sz w:val="36"/>
          <w:szCs w:val="36"/>
        </w:rPr>
      </w:pPr>
      <w:bookmarkStart w:id="1" w:name="_1bmn8tkphb5g"/>
      <w:bookmarkEnd w:id="1"/>
      <w:r>
        <w:rPr>
          <w:b/>
          <w:sz w:val="36"/>
          <w:szCs w:val="36"/>
        </w:rPr>
        <w:t>Histórico de Revisões</w:t>
      </w:r>
    </w:p>
    <w:tbl>
      <w:tblPr>
        <w:tblStyle w:val="Table1"/>
        <w:tblW w:w="986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60"/>
        <w:gridCol w:w="1515"/>
        <w:gridCol w:w="4609"/>
        <w:gridCol w:w="1584"/>
      </w:tblGrid>
      <w:tr>
        <w:trPr/>
        <w:tc>
          <w:tcPr>
            <w:tcW w:w="21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51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609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>
        <w:trPr/>
        <w:tc>
          <w:tcPr>
            <w:tcW w:w="2160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João Victor dos Santos Nogueira</w:t>
            </w:r>
          </w:p>
        </w:tc>
        <w:tc>
          <w:tcPr>
            <w:tcW w:w="151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03/06/2026</w:t>
            </w:r>
          </w:p>
        </w:tc>
        <w:tc>
          <w:tcPr>
            <w:tcW w:w="460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Criação do modelo do sistema e primeiras ideações.</w:t>
            </w:r>
          </w:p>
        </w:tc>
        <w:tc>
          <w:tcPr>
            <w:tcW w:w="1584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1.0</w:t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João Victos dos Santos Nogueira</w:t>
            </w:r>
          </w:p>
        </w:tc>
        <w:tc>
          <w:tcPr>
            <w:tcW w:w="151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10/06/2026</w:t>
            </w:r>
          </w:p>
        </w:tc>
        <w:tc>
          <w:tcPr>
            <w:tcW w:w="460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Consolidação dos modelos e inserção no GitHub</w:t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  <w:t>1.0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bookmarkStart w:id="2" w:name="_7ndxxnjxx1n1"/>
      <w:bookmarkEnd w:id="2"/>
      <w:r>
        <w:rPr>
          <w:position w:val="0"/>
          <w:sz w:val="36"/>
          <w:vertAlign w:val="baseline"/>
        </w:rPr>
        <w:t>Introdução</w:t>
      </w:r>
    </w:p>
    <w:p>
      <w:pPr>
        <w:pStyle w:val="BodyText"/>
        <w:jc w:val="both"/>
        <w:rPr/>
      </w:pPr>
      <w:r>
        <w:rPr/>
        <w:t xml:space="preserve">Este documento agrega: 1) a elaboração e revisão de modelos de domínio e 2) modelos de projeto para o sistema </w:t>
      </w:r>
      <w:r>
        <w:rPr>
          <w:b/>
        </w:rPr>
        <w:t>SGEE - Sistema de Gestão de Estoque e Entregas</w:t>
      </w:r>
      <w:r>
        <w:rPr/>
        <w:t>. A referência principal para a descrição geral do problema, domínio e requisitos do sistema é a necessidade operacional de mitigar a falta de rastreabilidade entre o momento em que um produto sai do armazém, a emissão do documento fiscal associado e a efetivação da entrega ao cliente.</w:t>
      </w:r>
    </w:p>
    <w:p>
      <w:pPr>
        <w:pStyle w:val="BodyText"/>
        <w:jc w:val="both"/>
        <w:rPr/>
      </w:pPr>
      <w:r>
        <w:rPr/>
        <w:t>O SGEE foi concebido para atuar como uma plataforma distribuída de alta disponibilidade que orquestra, em tempo real, os fluxos logísticos e financeiros. Para garantir resiliência e evitar o acoplamento excessivo presente em sistemas monolíticos tradicionais, o projeto adota uma arquitetura de microsserviços. O sistema está dividido em três domínios principais — Inventário, Faturação e Entregas —, comunicando de forma assíncrona para garantir a consistência dos dados, ao mesmo tempo que providencia interfaces seguras e direcionadas para as rotinas de Administradores, Colaboradores e Entregadores.</w:t>
      </w:r>
    </w:p>
    <w:p>
      <w:pPr>
        <w:pStyle w:val="Heading1"/>
        <w:numPr>
          <w:ilvl w:val="0"/>
          <w:numId w:val="1"/>
        </w:numPr>
        <w:rPr/>
      </w:pPr>
      <w:bookmarkStart w:id="3" w:name="_1fob9te"/>
      <w:bookmarkEnd w:id="3"/>
      <w:r>
        <w:rPr>
          <w:position w:val="0"/>
          <w:sz w:val="36"/>
          <w:vertAlign w:val="baseline"/>
        </w:rPr>
        <w:t>Modelos de Usuário e Requisitos</w:t>
      </w:r>
    </w:p>
    <w:p>
      <w:pPr>
        <w:pStyle w:val="Heading2"/>
        <w:numPr>
          <w:ilvl w:val="1"/>
          <w:numId w:val="1"/>
        </w:numPr>
        <w:rPr/>
      </w:pPr>
      <w:bookmarkStart w:id="4" w:name="_3znysh7"/>
      <w:bookmarkEnd w:id="4"/>
      <w:r>
        <w:rPr>
          <w:position w:val="0"/>
          <w:sz w:val="28"/>
          <w:vertAlign w:val="baseline"/>
        </w:rPr>
        <w:t>Descrição de Atores</w:t>
      </w:r>
    </w:p>
    <w:p>
      <w:pPr>
        <w:pStyle w:val="BodyText"/>
        <w:jc w:val="both"/>
        <w:rPr/>
      </w:pPr>
      <w:r>
        <w:rPr/>
        <w:t>Nesta secção é apresentada a descrição formal de cada um dos atores que interagem com o sistema, delimitando os seus níveis de acesso e responsabilidades operacionais no contexto da arquitetura do SGEE.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>
          <w:b/>
        </w:rPr>
        <w:t>Administrador:</w:t>
      </w:r>
      <w:r>
        <w:rPr/>
        <w:t xml:space="preserve"> Utilizador com privilégios de gestão (nível estratégico). É responsável pela auditoria e saúde financeira do sistema. Tem permissões para gerar relatórios de movimentação (entradas e saídas), analisar os demonstrativos de custos e lucros, bem como revogar notas fiscais em caso de erro crítico. O seu acesso é feito prioritariamente através do portal de gestão (Backoffice).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>
          <w:b/>
        </w:rPr>
        <w:t>Colaborador:</w:t>
      </w:r>
      <w:r>
        <w:rPr/>
        <w:t xml:space="preserve"> Utilizador com privilégios de operação interna (nível tático e operacional). Atua diretamente no armazém e no módulo de vendas. As suas responsabilidades englobam a contagem de produtos (auditoria física), o registo transacional de entradas e saídas no sistema, a emissão compulsória de notas fiscais (compra e venda) e a orquestração logística inicial (agendamento de entregas para os estafetas).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>
          <w:b/>
        </w:rPr>
        <w:t>Entregador:</w:t>
      </w:r>
      <w:r>
        <w:rPr/>
        <w:t xml:space="preserve"> Utilizador com privilégios de operação externa (nível de terreno). O seu acesso ocorre tipicamente através de dispositivos móveis. A sua atuação restringe-se à consulta de rotas ou entregas pendentes sob a sua responsabilidade, à alteração do estado de uma entrega (ex: de "Em Trânsito" para "Entregue" ou "Devolvida") e à recolha e envio de dados probatórios (comprovativos de receção fotográficos ou assinaturas digitais).</w:t>
      </w:r>
    </w:p>
    <w:p>
      <w:pPr>
        <w:pStyle w:val="Heading2"/>
        <w:numPr>
          <w:ilvl w:val="1"/>
          <w:numId w:val="1"/>
        </w:numPr>
        <w:rPr/>
      </w:pPr>
      <w:bookmarkStart w:id="5" w:name="_2et92p0"/>
      <w:bookmarkEnd w:id="5"/>
      <w:r>
        <w:rPr>
          <w:position w:val="0"/>
          <w:sz w:val="28"/>
          <w:vertAlign w:val="baseline"/>
        </w:rPr>
        <w:t xml:space="preserve">Modelo de Casos de Uso </w:t>
      </w:r>
    </w:p>
    <w:p>
      <w:pPr>
        <w:pStyle w:val="normal1"/>
        <w:jc w:val="both"/>
        <w:rPr/>
      </w:pPr>
      <w:r>
        <w:rPr/>
        <w:t>Nesta subseção é apresentado o diagrama de casos de uso do sistema. Para cada um deles, utilize um ID que possa servir de referência no restante do documento. Por exemplo UC-01 para o Caso de Uso 01.</w:t>
      </w:r>
    </w:p>
    <w:p>
      <w:pPr>
        <w:pStyle w:val="Heading2"/>
        <w:numPr>
          <w:ilvl w:val="1"/>
          <w:numId w:val="1"/>
        </w:numPr>
        <w:rPr/>
      </w:pPr>
      <w:bookmarkStart w:id="6" w:name="_ns02tpezvsrt"/>
      <w:bookmarkEnd w:id="6"/>
      <w:r>
        <w:rPr>
          <w:position w:val="0"/>
          <w:sz w:val="28"/>
          <w:vertAlign w:val="baseline"/>
        </w:rPr>
        <w:t>Diagrama de Sequência do Sistema</w:t>
      </w:r>
    </w:p>
    <w:p>
      <w:pPr>
        <w:pStyle w:val="normal1"/>
        <w:jc w:val="both"/>
        <w:rPr/>
      </w:pPr>
      <w:r>
        <w:rPr/>
        <w:t xml:space="preserve">Os contratos de operações detalham as mudanças de estado no sistema (pré-condições e pós-condições) para as principais chamadas de sistema identificadas nos Diagramas de Sequência do Sistema (DSS). </w:t>
      </w:r>
    </w:p>
    <w:p>
      <w:pPr>
        <w:pStyle w:val="normal1"/>
        <w:jc w:val="both"/>
        <w:rPr/>
      </w:pPr>
      <w:r>
        <w:rPr/>
      </w:r>
    </w:p>
    <w:tbl>
      <w:tblPr>
        <w:tblStyle w:val="Table2"/>
        <w:tblW w:w="964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669"/>
        <w:gridCol w:w="6979"/>
      </w:tblGrid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 xml:space="preserve">Contrato </w:t>
            </w:r>
            <w:r>
              <w:rPr>
                <w:b/>
              </w:rPr>
              <w:t>CO-01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Registar Saída de Produtos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registrarSaida(idProduto: UUID, quantidade: Integer)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UC-06 (Registar saída de produtos), UC-12 (Validar disponibilidade em estoque), UC-14 (Emitir alerta de estoque baixo).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rFonts w:ascii="Times New Roman" w:hAnsi="Times New Roman"/>
              </w:rPr>
              <w:t xml:space="preserve">O Colaborador deve estar autenticado com um </w:t>
            </w:r>
            <w:r>
              <w:rPr>
                <w:rFonts w:ascii="Times New Roman" w:hAnsi="Times New Roman"/>
                <w:i/>
              </w:rPr>
              <w:t>token</w:t>
            </w:r>
            <w:r>
              <w:rPr>
                <w:rFonts w:ascii="Times New Roman" w:hAnsi="Times New Roman"/>
              </w:rPr>
              <w:t xml:space="preserve"> válido. O produto identificado por </w:t>
            </w:r>
            <w:r>
              <w:rPr>
                <w:rStyle w:val="Cdigo-fonte"/>
                <w:rFonts w:ascii="Times New Roman" w:hAnsi="Times New Roman"/>
              </w:rPr>
              <w:t>idProduto</w:t>
            </w:r>
            <w:r>
              <w:rPr>
                <w:rFonts w:ascii="Times New Roman" w:hAnsi="Times New Roman"/>
              </w:rPr>
              <w:t xml:space="preserve"> deve existir na base de dados de Estoque e a sua </w:t>
            </w:r>
            <w:r>
              <w:rPr>
                <w:rStyle w:val="Cdigo-fonte"/>
                <w:rFonts w:ascii="Times New Roman" w:hAnsi="Times New Roman"/>
              </w:rPr>
              <w:t>quantidadeAtual</w:t>
            </w:r>
            <w:r>
              <w:rPr>
                <w:rFonts w:ascii="Times New Roman" w:hAnsi="Times New Roman"/>
              </w:rPr>
              <w:t xml:space="preserve"> deve ser maior ou igual à </w:t>
            </w:r>
            <w:r>
              <w:rPr>
                <w:rStyle w:val="Cdigo-fonte"/>
                <w:rFonts w:ascii="Times New Roman" w:hAnsi="Times New Roman"/>
              </w:rPr>
              <w:t xml:space="preserve">quantidade solicitada.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rFonts w:ascii="Times New Roman" w:hAnsi="Times New Roman"/>
              </w:rPr>
              <w:t xml:space="preserve">Uma nova instância de </w:t>
            </w:r>
            <w:r>
              <w:rPr>
                <w:rStyle w:val="Cdigo-fonte"/>
                <w:rFonts w:ascii="Times New Roman" w:hAnsi="Times New Roman"/>
              </w:rPr>
              <w:t>Movimentacao</w:t>
            </w:r>
            <w:r>
              <w:rPr>
                <w:rFonts w:ascii="Times New Roman" w:hAnsi="Times New Roman"/>
              </w:rPr>
              <w:t xml:space="preserve"> (tipo SAÍDA) foi criada e persistida. A </w:t>
            </w:r>
            <w:r>
              <w:rPr>
                <w:rStyle w:val="Cdigo-fonte"/>
                <w:rFonts w:ascii="Times New Roman" w:hAnsi="Times New Roman"/>
              </w:rPr>
              <w:t>quantidadeAtual</w:t>
            </w:r>
            <w:r>
              <w:rPr>
                <w:rFonts w:ascii="Times New Roman" w:hAnsi="Times New Roman"/>
              </w:rPr>
              <w:t xml:space="preserve"> do </w:t>
            </w:r>
            <w:r>
              <w:rPr>
                <w:rStyle w:val="Cdigo-fonte"/>
                <w:rFonts w:ascii="Times New Roman" w:hAnsi="Times New Roman"/>
              </w:rPr>
              <w:t>Produto</w:t>
            </w:r>
            <w:r>
              <w:rPr>
                <w:rFonts w:ascii="Times New Roman" w:hAnsi="Times New Roman"/>
              </w:rPr>
              <w:t xml:space="preserve"> foi decrementada pelo valor da </w:t>
            </w:r>
            <w:r>
              <w:rPr>
                <w:rStyle w:val="Cdigo-fonte"/>
                <w:rFonts w:ascii="Times New Roman" w:hAnsi="Times New Roman"/>
              </w:rPr>
              <w:t>quantidade</w:t>
            </w:r>
            <w:r>
              <w:rPr>
                <w:rFonts w:ascii="Times New Roman" w:hAnsi="Times New Roman"/>
              </w:rPr>
              <w:t xml:space="preserve">. Se o novo saldo for inferior à </w:t>
            </w:r>
            <w:r>
              <w:rPr>
                <w:rStyle w:val="Cdigo-fonte"/>
                <w:rFonts w:ascii="Times New Roman" w:hAnsi="Times New Roman"/>
              </w:rPr>
              <w:t>quantidadeMinima</w:t>
            </w:r>
            <w:r>
              <w:rPr>
                <w:rFonts w:ascii="Times New Roman" w:hAnsi="Times New Roman"/>
              </w:rPr>
              <w:t>, um evento de alerta de stock foi acionado.</w:t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Table2"/>
        <w:tblW w:w="964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669"/>
        <w:gridCol w:w="6979"/>
      </w:tblGrid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 xml:space="preserve">Contrato </w:t>
            </w:r>
            <w:r>
              <w:rPr>
                <w:b/>
              </w:rPr>
              <w:t>CO-0</w:t>
            </w:r>
            <w:r>
              <w:rPr>
                <w:b/>
              </w:rPr>
              <w:t>2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Emitir Nota Fiscal de Venda </w:t>
            </w:r>
          </w:p>
        </w:tc>
      </w:tr>
      <w:tr>
        <w:trPr>
          <w:trHeight w:val="329" w:hRule="atLeast"/>
        </w:trPr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solicitarEmissaoNF(idPedidoVenda: UUID)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UC-08 (Emitir nota fiscal de venda), UC-13 (Calcular impostos).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rStyle w:val="Cdigo-fonte"/>
                <w:rFonts w:ascii="Times New Roman" w:hAnsi="Times New Roman"/>
              </w:rPr>
              <w:t xml:space="preserve">O Colaborador deve estar autenticado. O pedido de venda deve existir no sistema, possuir itens válidos e não ter sido faturado previamente. </w:t>
            </w:r>
          </w:p>
        </w:tc>
      </w:tr>
      <w:tr>
        <w:trPr>
          <w:trHeight w:val="1422" w:hRule="atLeast"/>
        </w:trPr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Uma instância de </w:t>
            </w:r>
            <w:r>
              <w:rPr>
                <w:rStyle w:val="Cdigo-fonte"/>
              </w:rPr>
              <w:t>NotaFiscal</w:t>
            </w:r>
            <w:r>
              <w:rPr/>
              <w:t xml:space="preserve"> foi criada. O cálculo de impostos foi executado e armazenado em </w:t>
            </w:r>
            <w:r>
              <w:rPr>
                <w:rStyle w:val="Cdigo-fonte"/>
              </w:rPr>
              <w:t>totalImpostos</w:t>
            </w:r>
            <w:r>
              <w:rPr/>
              <w:t xml:space="preserve">. O estado da nota fiscal transitou para </w:t>
            </w:r>
            <w:r>
              <w:rPr>
                <w:rStyle w:val="Cdigo-fonte"/>
              </w:rPr>
              <w:t>EMITIDA</w:t>
            </w:r>
            <w:r>
              <w:rPr/>
              <w:t xml:space="preserve">. Um evento assíncrono informando a emissão da nota foi publicado no </w:t>
            </w:r>
            <w:r>
              <w:rPr>
                <w:i/>
              </w:rPr>
              <w:t>Message Broker</w:t>
            </w:r>
            <w:r>
              <w:rPr/>
              <w:t xml:space="preserve"> (RabbitMQ) para ser consumido pelo módulo de Entregas. </w:t>
            </w:r>
          </w:p>
        </w:tc>
      </w:tr>
    </w:tbl>
    <w:p>
      <w:pPr>
        <w:pStyle w:val="Normal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2"/>
        <w:tblW w:w="964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669"/>
        <w:gridCol w:w="6979"/>
      </w:tblGrid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 xml:space="preserve">Contrato </w:t>
            </w:r>
            <w:r>
              <w:rPr>
                <w:b/>
              </w:rPr>
              <w:t>CO-0</w:t>
            </w:r>
            <w:r>
              <w:rPr>
                <w:b/>
              </w:rPr>
              <w:t>3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Atualizar Estado da Entrega  </w:t>
            </w:r>
          </w:p>
        </w:tc>
      </w:tr>
      <w:tr>
        <w:trPr>
          <w:trHeight w:val="329" w:hRule="atLeast"/>
        </w:trPr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atualizarStatusEntrega(idEntrega: UUID, status: StatusEntrega, fotoComprovativo: File) 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UC-10 (Dar baixa em entregas em aberto), UC-11 (Enviar comprovantes). 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rStyle w:val="Cdigo-fonte"/>
                <w:rFonts w:ascii="Times New Roman" w:hAnsi="Times New Roman"/>
              </w:rPr>
              <w:t xml:space="preserve">O Entregador deve estar autenticado e ser o detentor da responsabilidade por aquela rota. A </w:t>
            </w:r>
            <w:r>
              <w:rPr>
                <w:rStyle w:val="Cdigo-fonte"/>
              </w:rPr>
              <w:t>Entrega</w:t>
            </w:r>
            <w:r>
              <w:rPr>
                <w:rStyle w:val="Cdigo-fonte"/>
                <w:rFonts w:ascii="Times New Roman" w:hAnsi="Times New Roman"/>
              </w:rPr>
              <w:t xml:space="preserve"> deve estar no estado </w:t>
            </w:r>
            <w:r>
              <w:rPr>
                <w:rStyle w:val="Cdigo-fonte"/>
              </w:rPr>
              <w:t>EM_TRANSITO</w:t>
            </w:r>
            <w:r>
              <w:rPr>
                <w:rStyle w:val="Cdigo-fonte"/>
                <w:rFonts w:ascii="Times New Roman" w:hAnsi="Times New Roman"/>
              </w:rPr>
              <w:t xml:space="preserve">. </w:t>
            </w:r>
          </w:p>
        </w:tc>
      </w:tr>
      <w:tr>
        <w:trPr/>
        <w:tc>
          <w:tcPr>
            <w:tcW w:w="2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  <w:t xml:space="preserve">O </w:t>
            </w:r>
            <w:r>
              <w:rPr>
                <w:rStyle w:val="Cdigo-fonte"/>
              </w:rPr>
              <w:t>status</w:t>
            </w:r>
            <w:r>
              <w:rPr/>
              <w:t xml:space="preserve"> da instância de </w:t>
            </w:r>
            <w:r>
              <w:rPr>
                <w:rStyle w:val="Cdigo-fonte"/>
              </w:rPr>
              <w:t>Entrega</w:t>
            </w:r>
            <w:r>
              <w:rPr/>
              <w:t xml:space="preserve"> foi modificado para </w:t>
            </w:r>
            <w:r>
              <w:rPr>
                <w:rStyle w:val="Cdigo-fonte"/>
              </w:rPr>
              <w:t>ENTREGUE</w:t>
            </w:r>
            <w:r>
              <w:rPr/>
              <w:t xml:space="preserve"> ou </w:t>
            </w:r>
            <w:r>
              <w:rPr>
                <w:rStyle w:val="Cdigo-fonte"/>
              </w:rPr>
              <w:t>TENTATIVA_FALHADA</w:t>
            </w:r>
            <w:r>
              <w:rPr/>
              <w:t xml:space="preserve">. Uma nova instância de </w:t>
            </w:r>
            <w:r>
              <w:rPr>
                <w:rStyle w:val="Cdigo-fonte"/>
              </w:rPr>
              <w:t>Comprovativo</w:t>
            </w:r>
            <w:r>
              <w:rPr/>
              <w:t xml:space="preserve"> contendo a imagem ou motivo da devolução foi criada e associada a esta entrega. A data e hora da baixa foram registadas. 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>
          <w:position w:val="0"/>
          <w:sz w:val="24"/>
          <w:vertAlign w:val="baseline"/>
        </w:rPr>
      </w:pPr>
      <w:bookmarkStart w:id="7" w:name="_tyjcwt"/>
      <w:bookmarkEnd w:id="7"/>
      <w:r>
        <w:rPr>
          <w:position w:val="0"/>
          <w:sz w:val="36"/>
          <w:vertAlign w:val="baseline"/>
        </w:rPr>
        <w:t>Modelos de Projeto</w:t>
      </w:r>
    </w:p>
    <w:p>
      <w:pPr>
        <w:pStyle w:val="Heading2"/>
        <w:numPr>
          <w:ilvl w:val="1"/>
          <w:numId w:val="1"/>
        </w:numPr>
        <w:rPr/>
      </w:pPr>
      <w:bookmarkStart w:id="8" w:name="_2s8eyo1"/>
      <w:bookmarkEnd w:id="8"/>
      <w:r>
        <w:rPr/>
        <w:t xml:space="preserve">Arquitetura </w:t>
      </w:r>
    </w:p>
    <w:p>
      <w:pPr>
        <w:pStyle w:val="normal1"/>
        <w:jc w:val="both"/>
        <w:rPr>
          <w:rFonts w:ascii="Arial" w:hAnsi="Arial" w:eastAsia="Arial" w:cs="Arial"/>
          <w:color w:val="222222"/>
          <w:sz w:val="22"/>
          <w:szCs w:val="22"/>
          <w:highlight w:val="white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6480" cy="469709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rPr/>
      </w:pPr>
      <w:bookmarkStart w:id="9" w:name="_3rdcrjn"/>
      <w:bookmarkEnd w:id="9"/>
      <w:r>
        <w:rPr/>
        <w:t>Diagrama de Componentes e Implantação.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4697095"/>
            <wp:effectExtent l="0" t="0" r="0" b="0"/>
            <wp:wrapSquare wrapText="largest"/>
            <wp:docPr id="2" name="Figura1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 Copia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Heading2"/>
        <w:numPr>
          <w:ilvl w:val="1"/>
          <w:numId w:val="1"/>
        </w:numPr>
        <w:rPr/>
      </w:pPr>
      <w:bookmarkStart w:id="10" w:name="_3dy6vkm"/>
      <w:bookmarkEnd w:id="10"/>
      <w:r>
        <w:rPr>
          <w:position w:val="0"/>
          <w:sz w:val="28"/>
          <w:vertAlign w:val="baseline"/>
        </w:rPr>
        <w:t>Diagrama de Classes</w:t>
      </w:r>
    </w:p>
    <w:p>
      <w:pPr>
        <w:pStyle w:val="normal1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5331460"/>
            <wp:effectExtent l="0" t="0" r="0" b="0"/>
            <wp:wrapSquare wrapText="largest"/>
            <wp:docPr id="3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33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1" w:name="_1t3h5sf"/>
      <w:bookmarkEnd w:id="11"/>
      <w:r>
        <w:rPr>
          <w:position w:val="0"/>
          <w:sz w:val="28"/>
          <w:vertAlign w:val="baseline"/>
        </w:rPr>
        <w:t>Diagramas de Sequência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9562465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956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2" w:name="_4d34og8"/>
      <w:bookmarkEnd w:id="12"/>
      <w:r>
        <w:rPr>
          <w:position w:val="0"/>
          <w:sz w:val="28"/>
          <w:vertAlign w:val="baseline"/>
        </w:rPr>
        <w:t>Diagramas de Comunicação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268345"/>
            <wp:effectExtent l="0" t="0" r="0" b="0"/>
            <wp:wrapSquare wrapText="largest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26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1"/>
        </w:numPr>
        <w:rPr/>
      </w:pPr>
      <w:bookmarkStart w:id="13" w:name="_17dp8vu"/>
      <w:bookmarkEnd w:id="13"/>
      <w:r>
        <w:rPr>
          <w:position w:val="0"/>
          <w:sz w:val="28"/>
          <w:vertAlign w:val="baseline"/>
        </w:rPr>
        <w:t>Diagramas de Estados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5950" cy="2834005"/>
            <wp:effectExtent l="0" t="0" r="0" b="0"/>
            <wp:wrapSquare wrapText="largest"/>
            <wp:docPr id="6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83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ind w:hanging="0" w:start="0"/>
        <w:rPr>
          <w:position w:val="0"/>
          <w:sz w:val="24"/>
          <w:vertAlign w:val="baseline"/>
        </w:rPr>
      </w:pPr>
      <w:r>
        <w:rPr>
          <w:position w:val="0"/>
          <w:sz w:val="36"/>
          <w:vertAlign w:val="baseline"/>
        </w:rPr>
      </w:r>
    </w:p>
    <w:p>
      <w:pPr>
        <w:pStyle w:val="Heading1"/>
        <w:numPr>
          <w:ilvl w:val="0"/>
          <w:numId w:val="0"/>
        </w:numPr>
        <w:ind w:hanging="0" w:start="0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Heading1"/>
        <w:numPr>
          <w:ilvl w:val="0"/>
          <w:numId w:val="0"/>
        </w:numPr>
        <w:ind w:hanging="0" w:start="0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Heading1"/>
        <w:numPr>
          <w:ilvl w:val="0"/>
          <w:numId w:val="0"/>
        </w:numPr>
        <w:ind w:hanging="0" w:start="0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Heading1"/>
        <w:rPr>
          <w:rFonts w:ascii="Times New Roman" w:hAnsi="Times New Roman"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r>
    </w:p>
    <w:p>
      <w:pPr>
        <w:pStyle w:val="normal1"/>
        <w:rPr>
          <w:rFonts w:ascii="Times New Roman" w:hAnsi="Times New Roman"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1069975</wp:posOffset>
            </wp:positionH>
            <wp:positionV relativeFrom="paragraph">
              <wp:posOffset>635</wp:posOffset>
            </wp:positionV>
            <wp:extent cx="4375150" cy="3375025"/>
            <wp:effectExtent l="0" t="0" r="0" b="0"/>
            <wp:wrapSquare wrapText="largest"/>
            <wp:docPr id="7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37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</w:rPr>
      </w:r>
    </w:p>
    <w:sectPr>
      <w:headerReference w:type="even" r:id="rId21"/>
      <w:headerReference w:type="default" r:id="rId22"/>
      <w:headerReference w:type="first" r:id="rId23"/>
      <w:footerReference w:type="default" r:id="rId24"/>
      <w:footerReference w:type="first" r:id="rId25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9360" w:type="dxa"/>
      <w:jc w:val="start"/>
      <w:tblInd w:w="-115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 w:end="0"/>
            <w:jc w:val="start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center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-115"/>
            <w:jc w:val="end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9360" w:type="dxa"/>
      <w:jc w:val="start"/>
      <w:tblInd w:w="-115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 w:end="0"/>
            <w:jc w:val="start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center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-115"/>
            <w:jc w:val="end"/>
            <w:rPr>
              <w:rFonts w:ascii="Times" w:hAnsi="Times"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Documentação de Projeto para o Sistema </w:t>
    </w: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SGE</w:t>
    </w: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Documentação de Projeto para o Sistema </w:t>
    </w: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>SGE</w:t>
    </w: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Times" w:hAnsi="Times"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240"/>
      <w:ind w:hanging="0" w:start="0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80" w:after="280"/>
      <w:ind w:hanging="0" w:start="0"/>
    </w:pPr>
    <w:rPr>
      <w:b/>
      <w:sz w:val="28"/>
      <w:szCs w:val="28"/>
    </w:rPr>
  </w:style>
  <w:style w:type="paragraph" w:styleId="Heading3">
    <w:name w:val="heading 3"/>
    <w:basedOn w:val="normal1"/>
    <w:next w:val="normal1"/>
    <w:qFormat/>
    <w:pPr>
      <w:spacing w:lineRule="auto" w:line="240" w:before="240" w:after="240"/>
      <w:ind w:hanging="0" w:start="0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21" w:before="240" w:after="60"/>
      <w:ind w:hanging="0" w:start="0"/>
      <w:jc w:val="both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Heading5">
    <w:name w:val="heading 5"/>
    <w:basedOn w:val="normal1"/>
    <w:next w:val="normal1"/>
    <w:qFormat/>
    <w:pPr>
      <w:spacing w:lineRule="auto" w:line="221" w:before="240" w:after="60"/>
      <w:ind w:hanging="0" w:start="0"/>
      <w:jc w:val="both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1"/>
    <w:next w:val="normal1"/>
    <w:qFormat/>
    <w:pPr>
      <w:spacing w:lineRule="auto" w:line="221" w:before="240" w:after="60"/>
      <w:ind w:hanging="0" w:start="0"/>
      <w:jc w:val="both"/>
    </w:pPr>
    <w:rPr>
      <w:rFonts w:ascii="Arial" w:hAnsi="Arial" w:eastAsia="Arial" w:cs="Arial"/>
      <w:i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720"/>
      <w:jc w:val="end"/>
    </w:pPr>
    <w:rPr>
      <w:rFonts w:ascii="Arial" w:hAnsi="Arial" w:eastAsia="Arial" w:cs="Arial"/>
      <w:b/>
      <w:sz w:val="64"/>
      <w:szCs w:val="64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LibreOffice/25.8.5.2$Windows_X86_64 LibreOffice_project/9c8b85f387cc00a89945a79c9e6239f32e450ac2</Application>
  <AppVersion>15.0000</AppVersion>
  <Pages>12</Pages>
  <Words>943</Words>
  <Characters>5292</Characters>
  <CharactersWithSpaces>6161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2026-06-10T20:21:27Z</dcterms:modified>
  <cp:revision>2</cp:revision>
  <dc:subject/>
  <dc:title/>
</cp:coreProperties>
</file>