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Tesis</w:t>
      </w:r>
      <w:r>
        <w:t xml:space="preserve"> </w:t>
      </w:r>
      <w:r>
        <w:t xml:space="preserve">de</w:t>
      </w:r>
      <w:r>
        <w:t xml:space="preserve"> </w:t>
      </w:r>
      <w:r>
        <w:t xml:space="preserve">MSc</w:t>
      </w:r>
    </w:p>
    <w:p>
      <w:pPr>
        <w:pStyle w:val="Author"/>
      </w:pPr>
      <w:r>
        <w:t xml:space="preserve">Aguilera-González,</w:t>
      </w:r>
      <w:r>
        <w:t xml:space="preserve"> </w:t>
      </w:r>
      <w:r>
        <w:t xml:space="preserve">J.F.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directorio"/>
      <w:bookmarkEnd w:id="21"/>
      <w:r>
        <w:t xml:space="preserve">Directorio</w:t>
      </w:r>
    </w:p>
    <w:p>
      <w:pPr>
        <w:pStyle w:val="FirstParagraph"/>
      </w:pPr>
      <w:r>
        <w:t xml:space="preserve">Para determinar la ubicación del directorio de trabajo y su contenido es necesario:</w:t>
      </w:r>
    </w:p>
    <w:p>
      <w:pPr>
        <w:pStyle w:val="Compact"/>
        <w:numPr>
          <w:numId w:val="1001"/>
          <w:ilvl w:val="0"/>
        </w:numPr>
      </w:pPr>
      <w:r>
        <w:t xml:space="preserve">Emplear la función</w:t>
      </w:r>
      <w:r>
        <w:t xml:space="preserve"> </w:t>
      </w:r>
      <w:r>
        <w:rPr>
          <w:rStyle w:val="VerbatimChar"/>
        </w:rPr>
        <w:t xml:space="preserve">getwd()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Visualizar los archivos con</w:t>
      </w:r>
      <w:r>
        <w:t xml:space="preserve"> </w:t>
      </w:r>
      <w:r>
        <w:rPr>
          <w:rStyle w:val="VerbatimChar"/>
        </w:rPr>
        <w:t xml:space="preserve">dir()</w:t>
      </w:r>
    </w:p>
    <w:p>
      <w:pPr>
        <w:pStyle w:val="Heading3"/>
      </w:pPr>
      <w:bookmarkStart w:id="22" w:name="base-de-datos"/>
      <w:bookmarkEnd w:id="22"/>
      <w:r>
        <w:t xml:space="preserve">Base de datos</w:t>
      </w:r>
    </w:p>
    <w:p>
      <w:pPr>
        <w:pStyle w:val="FirstParagraph"/>
      </w:pPr>
      <w:r>
        <w:t xml:space="preserve">La Base de Datos se almacenó como archivo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(Microsoft Excel 2013) con el nombre</w:t>
      </w:r>
      <w:r>
        <w:t xml:space="preserve"> </w:t>
      </w:r>
      <w:r>
        <w:rPr>
          <w:rStyle w:val="VerbatimChar"/>
        </w:rPr>
        <w:t xml:space="preserve">"BD.xlsx"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El archivo se compone de</w:t>
      </w:r>
      <w:r>
        <w:t xml:space="preserve"> </w:t>
      </w:r>
      <w:r>
        <w:rPr>
          <w:b/>
        </w:rPr>
        <w:t xml:space="preserve">tres hojas</w:t>
      </w:r>
      <w:r>
        <w:t xml:space="preserve"> </w:t>
      </w:r>
      <w:r>
        <w:t xml:space="preserve">de cálculo: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"BDT"</w:t>
      </w:r>
      <w:r>
        <w:t xml:space="preserve"> </w:t>
      </w:r>
      <w:r>
        <w:rPr>
          <w:i/>
        </w:rPr>
        <w:t xml:space="preserve">Datos Crudos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"BDA"</w:t>
      </w:r>
      <w:r>
        <w:t xml:space="preserve"> </w:t>
      </w:r>
      <w:r>
        <w:rPr>
          <w:i/>
        </w:rPr>
        <w:t xml:space="preserve">Datos Hidrométricos e Hidrológicos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"OUT"</w:t>
      </w:r>
      <w:r>
        <w:t xml:space="preserve"> </w:t>
      </w:r>
      <w:r>
        <w:rPr>
          <w:i/>
        </w:rPr>
        <w:t xml:space="preserve">Datos Atípicos</w:t>
      </w:r>
    </w:p>
    <w:p>
      <w:pPr>
        <w:pStyle w:val="Compact"/>
        <w:numPr>
          <w:numId w:val="1002"/>
          <w:ilvl w:val="0"/>
        </w:numPr>
      </w:pPr>
      <w:r>
        <w:t xml:space="preserve">Los encabezados de las</w:t>
      </w:r>
      <w:r>
        <w:t xml:space="preserve"> </w:t>
      </w:r>
      <w:r>
        <w:rPr>
          <w:b/>
        </w:rPr>
        <w:t xml:space="preserve">columnas</w:t>
      </w:r>
      <w:r>
        <w:t xml:space="preserve"> </w:t>
      </w:r>
      <w:r>
        <w:t xml:space="preserve">corresponden a las</w:t>
      </w:r>
      <w:r>
        <w:t xml:space="preserve"> </w:t>
      </w:r>
      <w:r>
        <w:rPr>
          <w:b/>
        </w:rPr>
        <w:t xml:space="preserve">variables</w:t>
      </w:r>
    </w:p>
    <w:p>
      <w:pPr>
        <w:pStyle w:val="Compact"/>
        <w:numPr>
          <w:numId w:val="1002"/>
          <w:ilvl w:val="0"/>
        </w:numPr>
      </w:pPr>
      <w:r>
        <w:t xml:space="preserve">Cada</w:t>
      </w:r>
      <w:r>
        <w:t xml:space="preserve"> </w:t>
      </w:r>
      <w:r>
        <w:rPr>
          <w:b/>
        </w:rPr>
        <w:t xml:space="preserve">observación</w:t>
      </w:r>
      <w:r>
        <w:t xml:space="preserve"> </w:t>
      </w:r>
      <w:r>
        <w:t xml:space="preserve">se almacenó en una</w:t>
      </w:r>
      <w:r>
        <w:t xml:space="preserve"> </w:t>
      </w:r>
      <w:r>
        <w:rPr>
          <w:b/>
        </w:rPr>
        <w:t xml:space="preserve">fila</w:t>
      </w:r>
    </w:p>
    <w:p>
      <w:pPr>
        <w:pStyle w:val="Compact"/>
        <w:numPr>
          <w:numId w:val="1002"/>
          <w:ilvl w:val="0"/>
        </w:numPr>
      </w:pPr>
      <w:r>
        <w:t xml:space="preserve">La primer columna corresponde a la identificación</w:t>
      </w:r>
      <w:r>
        <w:t xml:space="preserve"> </w:t>
      </w:r>
      <w:r>
        <w:rPr>
          <w:b/>
        </w:rPr>
        <w:t xml:space="preserve">ID</w:t>
      </w:r>
      <w:r>
        <w:t xml:space="preserve"> </w:t>
      </w:r>
      <w:r>
        <w:t xml:space="preserve">de cada</w:t>
      </w:r>
      <w:r>
        <w:t xml:space="preserve"> </w:t>
      </w:r>
      <w:r>
        <w:rPr>
          <w:b/>
        </w:rPr>
        <w:t xml:space="preserve">observación</w:t>
      </w:r>
    </w:p>
    <w:p>
      <w:pPr>
        <w:pStyle w:val="FirstParagraph"/>
      </w:pPr>
      <w:r>
        <w:t xml:space="preserve">Para visualizar la base de datos se requiere lo siguiente:</w:t>
      </w:r>
    </w:p>
    <w:p>
      <w:pPr>
        <w:pStyle w:val="Compact"/>
        <w:numPr>
          <w:numId w:val="1004"/>
          <w:ilvl w:val="0"/>
        </w:numPr>
      </w:pPr>
      <w:r>
        <w:t xml:space="preserve">Con el</w:t>
      </w:r>
      <w:r>
        <w:t xml:space="preserve"> </w:t>
      </w:r>
      <w:r>
        <w:rPr>
          <w:b/>
        </w:rPr>
        <w:t xml:space="preserve">paquete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 </w:t>
      </w:r>
      <w:r>
        <w:t xml:space="preserve">importamos la Base de Datos al entorno de trabajo.</w:t>
      </w:r>
    </w:p>
    <w:p>
      <w:pPr>
        <w:pStyle w:val="Compact"/>
        <w:numPr>
          <w:numId w:val="1004"/>
          <w:ilvl w:val="0"/>
        </w:numPr>
      </w:pPr>
      <w:r>
        <w:t xml:space="preserve">Creamos el</w:t>
      </w:r>
      <w:r>
        <w:t xml:space="preserve"> </w:t>
      </w:r>
      <w:r>
        <w:rPr>
          <w:b/>
        </w:rPr>
        <w:t xml:space="preserve">objeto</w:t>
      </w:r>
      <w:r>
        <w:t xml:space="preserve"> </w:t>
      </w:r>
      <w:r>
        <w:rPr>
          <w:rStyle w:val="VerbatimChar"/>
        </w:rPr>
        <w:t xml:space="preserve">dbT &lt;-</w:t>
      </w:r>
      <w:r>
        <w:t xml:space="preserve"> </w:t>
      </w:r>
      <w:r>
        <w:t xml:space="preserve">que almacena la Base de Datos</w:t>
      </w:r>
      <w:r>
        <w:t xml:space="preserve"> </w:t>
      </w:r>
      <w:r>
        <w:rPr>
          <w:rStyle w:val="VerbatimChar"/>
        </w:rPr>
        <w:t xml:space="preserve">"BD.xlsx"</w:t>
      </w:r>
      <w:r>
        <w:t xml:space="preserve">, especifcando la Hoja con</w:t>
      </w:r>
      <w:r>
        <w:t xml:space="preserve"> </w:t>
      </w:r>
      <w:r>
        <w:rPr>
          <w:rStyle w:val="VerbatimChar"/>
        </w:rPr>
        <w:t xml:space="preserve">sheet = "BDT"</w:t>
      </w:r>
    </w:p>
    <w:p>
      <w:pPr>
        <w:pStyle w:val="Heading3"/>
      </w:pPr>
      <w:bookmarkStart w:id="23" w:name="estructura-dimension-y-clase"/>
      <w:bookmarkEnd w:id="23"/>
      <w:r>
        <w:t xml:space="preserve">Estructura, dimensión y clase</w:t>
      </w:r>
    </w:p>
    <w:p>
      <w:pPr>
        <w:pStyle w:val="FirstParagraph"/>
      </w:pPr>
      <w:r>
        <w:t xml:space="preserve">Para determinar las características del objeto</w:t>
      </w:r>
      <w:r>
        <w:t xml:space="preserve"> </w:t>
      </w:r>
      <w:r>
        <w:rPr>
          <w:rStyle w:val="VerbatimChar"/>
        </w:rPr>
        <w:t xml:space="preserve">dbT &lt;-</w:t>
      </w:r>
      <w:r>
        <w:t xml:space="preserve"> </w:t>
      </w:r>
      <w:r>
        <w:t xml:space="preserve">empleamos:</w:t>
      </w:r>
    </w:p>
    <w:p>
      <w:pPr>
        <w:pStyle w:val="Compact"/>
        <w:numPr>
          <w:numId w:val="1005"/>
          <w:ilvl w:val="0"/>
        </w:numPr>
      </w:pPr>
      <w:r>
        <w:t xml:space="preserve">Estructura:</w:t>
      </w:r>
      <w:r>
        <w:t xml:space="preserve"> </w:t>
      </w:r>
      <w:r>
        <w:rPr>
          <w:rStyle w:val="VerbatimChar"/>
        </w:rPr>
        <w:t xml:space="preserve">str(dbT)</w:t>
      </w:r>
    </w:p>
    <w:p>
      <w:pPr>
        <w:pStyle w:val="Compact"/>
        <w:numPr>
          <w:numId w:val="1005"/>
          <w:ilvl w:val="0"/>
        </w:numPr>
      </w:pPr>
      <w:r>
        <w:t xml:space="preserve">Dimensión:</w:t>
      </w:r>
      <w:r>
        <w:t xml:space="preserve"> </w:t>
      </w:r>
      <w:r>
        <w:rPr>
          <w:rStyle w:val="VerbatimChar"/>
        </w:rPr>
        <w:t xml:space="preserve">dim(dbT)</w:t>
      </w:r>
    </w:p>
    <w:p>
      <w:pPr>
        <w:pStyle w:val="Compact"/>
        <w:numPr>
          <w:numId w:val="1005"/>
          <w:ilvl w:val="0"/>
        </w:numPr>
      </w:pPr>
      <w:r>
        <w:t xml:space="preserve">Clase:</w:t>
      </w:r>
      <w:r>
        <w:t xml:space="preserve"> </w:t>
      </w:r>
      <w:r>
        <w:rPr>
          <w:rStyle w:val="VerbatimChar"/>
        </w:rPr>
        <w:t xml:space="preserve">class(dbT)</w:t>
      </w:r>
    </w:p>
    <w:p>
      <w:pPr>
        <w:pStyle w:val="Heading3"/>
      </w:pPr>
      <w:bookmarkStart w:id="24" w:name="recodificacion"/>
      <w:bookmarkEnd w:id="24"/>
      <w:r>
        <w:t xml:space="preserve">Recodificación</w:t>
      </w:r>
    </w:p>
    <w:p>
      <w:pPr>
        <w:pStyle w:val="FirstParagraph"/>
      </w:pPr>
      <w:r>
        <w:t xml:space="preserve">Variables almacenadas como caracteres</w:t>
      </w:r>
      <w:r>
        <w:t xml:space="preserve"> </w:t>
      </w:r>
      <w:r>
        <w:rPr>
          <w:rStyle w:val="VerbatimChar"/>
        </w:rPr>
        <w:t xml:space="preserve">chr</w:t>
      </w:r>
      <w:r>
        <w:t xml:space="preserve"> </w:t>
      </w:r>
      <w:r>
        <w:t xml:space="preserve">las recodificamos a factor creando un nuevo objeto</w:t>
      </w:r>
      <w:r>
        <w:t xml:space="preserve"> </w:t>
      </w:r>
      <w:r>
        <w:rPr>
          <w:rStyle w:val="VerbatimChar"/>
        </w:rPr>
        <w:t xml:space="preserve">df &lt;-</w:t>
      </w:r>
      <w:r>
        <w:t xml:space="preserve"> </w:t>
      </w:r>
      <w:r>
        <w:t xml:space="preserve">con la función</w:t>
      </w:r>
      <w:r>
        <w:t xml:space="preserve"> </w:t>
      </w:r>
      <w:r>
        <w:rPr>
          <w:rStyle w:val="VerbatimChar"/>
        </w:rPr>
        <w:t xml:space="preserve">data.table</w:t>
      </w:r>
    </w:p>
    <w:p>
      <w:pPr>
        <w:pStyle w:val="Heading2"/>
      </w:pPr>
      <w:bookmarkStart w:id="25" w:name="analisis-exploratorio-de-datos-eda"/>
      <w:bookmarkEnd w:id="25"/>
      <w:r>
        <w:t xml:space="preserve">Análisis Exploratorio de Datos (</w:t>
      </w:r>
      <w:r>
        <w:rPr>
          <w:b/>
        </w:rPr>
        <w:t xml:space="preserve">EDA</w:t>
      </w:r>
      <w: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0-w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0-wd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0-wd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47c3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8fa52c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d758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Tesis de MSc</dc:title>
  <dc:creator>Aguilera-González, J.F.</dc:creator>
  <dcterms:created xsi:type="dcterms:W3CDTF">2017-04-15T04:54:23Z</dcterms:created>
  <dcterms:modified xsi:type="dcterms:W3CDTF">2017-04-15T04:54:23Z</dcterms:modified>
</cp:coreProperties>
</file>