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27384A"/>
          <w:sz w:val="32"/>
        </w:rPr>
        <w:t>Appendix Signal-Driver Tables</w:t>
      </w:r>
    </w:p>
    <w:p>
      <w:pPr>
        <w:spacing w:after="200"/>
      </w:pPr>
      <w:r>
        <w:rPr>
          <w:rFonts w:ascii="Arial" w:hAnsi="Arial"/>
          <w:sz w:val="20"/>
        </w:rPr>
        <w:t>Final pre-MA specification. Tables report aggregated signal importance across the full out-of-sample period.</w:t>
      </w:r>
    </w:p>
    <w:p>
      <w:pPr>
        <w:spacing w:before="160" w:after="80"/>
      </w:pPr>
      <w:r>
        <w:rPr>
          <w:rFonts w:ascii="Arial" w:hAnsi="Arial"/>
          <w:b/>
          <w:sz w:val="20"/>
        </w:rPr>
        <w:t>Table A.X. Elastic Net signal drivers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4824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1800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Mean coef.</w:t>
            </w:r>
          </w:p>
        </w:tc>
        <w:tc>
          <w:tcPr>
            <w:tcW w:type="dxa" w:w="2088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Mean abs. coef.</w:t>
            </w:r>
          </w:p>
        </w:tc>
        <w:tc>
          <w:tcPr>
            <w:tcW w:type="dxa" w:w="1944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Non-zero freq.</w:t>
            </w:r>
          </w:p>
        </w:tc>
        <w:tc>
          <w:tcPr>
            <w:tcW w:type="dxa" w:w="1224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Folds</w:t>
            </w:r>
          </w:p>
        </w:tc>
      </w:tr>
      <w:tr>
        <w:tc>
          <w:tcPr>
            <w:tcW w:type="dxa" w:w="11880"/>
            <w:gridSpan w:val="5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27384A"/>
                <w:sz w:val="18"/>
              </w:rPr>
              <w:t>Elastic Net coefficients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macro_vix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-0.0224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0.0224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100.0%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vol_12m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0.0070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0.0070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78.3%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macro_term_spread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0.0037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0.0061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89.7%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ma_crossover_6_12_x_macro_vix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-0.0047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0.0056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56.7%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macro_epu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0.0043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0.0050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58.0%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vol_12m_x_macro_credit_spread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-0.0044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0.0046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26.0%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ma_gap_12m_x_macro_epu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-0.0012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0.0044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50.0%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macro_credit_spread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0.0023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0.0025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29.7%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ma_gap_12m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-0.0022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0.0022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45.7%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reversal_1m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0.0021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0.0021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52.0%</w:t>
            </w:r>
          </w:p>
        </w:tc>
        <w:tc>
          <w:tcPr>
            <w:tcW w:type="dxa" w:w="279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</w:tbl>
    <w:p/>
    <w:p>
      <w:pPr>
        <w:spacing w:after="160"/>
      </w:pPr>
      <w:r>
        <w:rPr>
          <w:rFonts w:ascii="Arial" w:hAnsi="Arial"/>
          <w:i/>
          <w:color w:val="505050"/>
          <w:sz w:val="18"/>
        </w:rPr>
        <w:t>Note: Mean coefficient preserves the sign of the estimated Elastic Net coefficient, while mean absolute coefficient ranks variables by average magnitude. Non-zero frequency reports how often the coefficient is selected across 300 rolling folds.</w:t>
      </w:r>
    </w:p>
    <w:p>
      <w:pPr>
        <w:spacing w:before="160" w:after="80"/>
      </w:pPr>
      <w:r>
        <w:rPr>
          <w:rFonts w:ascii="Arial" w:hAnsi="Arial"/>
          <w:b/>
          <w:sz w:val="20"/>
        </w:rPr>
        <w:t>Table A.X. Random Forest signal drivers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4824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088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Mean importance</w:t>
            </w:r>
          </w:p>
        </w:tc>
        <w:tc>
          <w:tcPr>
            <w:tcW w:type="dxa" w:w="2088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Std. importance</w:t>
            </w:r>
          </w:p>
        </w:tc>
        <w:tc>
          <w:tcPr>
            <w:tcW w:type="dxa" w:w="1224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Folds</w:t>
            </w:r>
          </w:p>
        </w:tc>
      </w:tr>
      <w:tr>
        <w:tc>
          <w:tcPr>
            <w:tcW w:type="dxa" w:w="10224"/>
            <w:gridSpan w:val="4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27384A"/>
                <w:sz w:val="18"/>
              </w:rPr>
              <w:t>Random Forest feature importance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macro_vix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0.2903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0.1205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macro_credit_spread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0.2386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0.1574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macro_epu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0.1392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0.0655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macro_term_spread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0.1096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0.0392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ma_gap_12m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0.0467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0.0243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vol_12m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0.0441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0.0246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ma_crossover_6_12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0.0279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0.0247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mom_6_1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0.0253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0.0145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reversal_1m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0.0210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0.0084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  <w:tr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mom_12_1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0.0178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0.0104</w:t>
            </w:r>
          </w:p>
        </w:tc>
        <w:tc>
          <w:tcPr>
            <w:tcW w:type="dxa" w:w="34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300</w:t>
            </w:r>
          </w:p>
        </w:tc>
      </w:tr>
    </w:tbl>
    <w:p/>
    <w:p>
      <w:pPr>
        <w:spacing w:after="160"/>
      </w:pPr>
      <w:r>
        <w:rPr>
          <w:rFonts w:ascii="Arial" w:hAnsi="Arial"/>
          <w:i/>
          <w:color w:val="505050"/>
          <w:sz w:val="18"/>
        </w:rPr>
        <w:t>Note: Random Forest importance is averaged across 300 rolling folds. The values are model-specific importance scores and should be interpreted as relative within-model rankings rather than directly comparable to Elastic Net coefficients or Torch permutation drops.</w:t>
      </w:r>
    </w:p>
    <w:p>
      <w:pPr>
        <w:spacing w:before="160" w:after="80"/>
      </w:pPr>
      <w:r>
        <w:rPr>
          <w:rFonts w:ascii="Arial" w:hAnsi="Arial"/>
          <w:b/>
          <w:sz w:val="20"/>
        </w:rPr>
        <w:t>Table A.X. Torch signal drivers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  <w:gridCol w:w="2328"/>
        <w:gridCol w:w="2328"/>
      </w:tblGrid>
      <w:tr>
        <w:tc>
          <w:tcPr>
            <w:tcW w:type="dxa" w:w="3816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1512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Mean drop</w:t>
            </w:r>
          </w:p>
        </w:tc>
        <w:tc>
          <w:tcPr>
            <w:tcW w:type="dxa" w:w="1512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Std. drop</w:t>
            </w:r>
          </w:p>
        </w:tc>
        <w:tc>
          <w:tcPr>
            <w:tcW w:type="dxa" w:w="1800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Baseline return</w:t>
            </w:r>
          </w:p>
        </w:tc>
        <w:tc>
          <w:tcPr>
            <w:tcW w:type="dxa" w:w="1800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Permuted return</w:t>
            </w:r>
          </w:p>
        </w:tc>
        <w:tc>
          <w:tcPr>
            <w:tcW w:type="dxa" w:w="1152"/>
            <w:shd w:fill="2738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Obs.</w:t>
            </w:r>
          </w:p>
        </w:tc>
      </w:tr>
      <w:tr>
        <w:tc>
          <w:tcPr>
            <w:tcW w:type="dxa" w:w="11592"/>
            <w:gridSpan w:val="6"/>
            <w:shd w:fill="DCE6F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i/>
                <w:color w:val="27384A"/>
                <w:sz w:val="18"/>
              </w:rPr>
              <w:t>Torch permutation importance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tsmom_12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0.0023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0.0322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0.0099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log_volume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0.0015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0.0209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0.0107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mom_12_1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0.0013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0.0136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0.0108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tsmom_sign_12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0.0012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0.0140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0.0109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abnormal_log_volume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0.0009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0.0081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0.0113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ma_gap_12m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0.0009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0.0166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0.0113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reversal_1m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0.0006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0.0099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0.0115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mom_3_1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0.0005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0.0105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0.0117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mom_6_1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0.0003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0.0096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0.0119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  <w:tr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vol_regime_3_12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0.0002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0.0134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0.0122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0.0119</w:t>
            </w:r>
          </w:p>
        </w:tc>
        <w:tc>
          <w:tcPr>
            <w:tcW w:type="dxa" w:w="2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900</w:t>
            </w:r>
          </w:p>
        </w:tc>
      </w:tr>
    </w:tbl>
    <w:p/>
    <w:p>
      <w:pPr>
        <w:spacing w:after="160"/>
      </w:pPr>
      <w:r>
        <w:rPr>
          <w:rFonts w:ascii="Arial" w:hAnsi="Arial"/>
          <w:i/>
          <w:color w:val="505050"/>
          <w:sz w:val="18"/>
        </w:rPr>
        <w:t>Note: Torch permutation importance is computed as the reduction in validation-period portfolio return when a feature is permuted. A larger mean drop indicates that disrupting the signal reduces performance more strongly.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