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60"/>
        <w:jc w:val="center"/>
        <w:rPr>
          <w:rFonts w:ascii="Roboto" w:hAnsi="Roboto"/>
          <w:b/>
          <w:b/>
          <w:color w:val="00000A"/>
          <w:sz w:val="36"/>
          <w:szCs w:val="28"/>
          <w:lang w:val="fr-CH" w:eastAsia="zh-CN"/>
        </w:rPr>
      </w:pPr>
      <w:r>
        <w:rPr>
          <w:rFonts w:ascii="Roboto" w:hAnsi="Roboto"/>
          <w:b/>
          <w:color w:val="00000A"/>
          <w:sz w:val="36"/>
          <w:szCs w:val="28"/>
          <w:lang w:val="fr-CH" w:eastAsia="zh-CN"/>
        </w:rPr>
        <w:t>Analyses  proposées et tarifs</w:t>
      </w:r>
    </w:p>
    <w:p>
      <w:pPr>
        <w:pStyle w:val="Normal"/>
        <w:spacing w:before="0" w:after="0"/>
        <w:jc w:val="both"/>
        <w:rPr>
          <w:rFonts w:ascii="Gill Sans MT" w:hAnsi="Gill Sans MT"/>
          <w:i/>
          <w:i/>
          <w:sz w:val="20"/>
          <w:szCs w:val="23"/>
          <w:lang w:val="fr-CH" w:eastAsia="zh-CN"/>
        </w:rPr>
      </w:pPr>
      <w:r>
        <w:rPr>
          <w:rFonts w:ascii="Gill Sans MT" w:hAnsi="Gill Sans MT"/>
          <w:i/>
          <w:sz w:val="20"/>
          <w:szCs w:val="23"/>
          <w:lang w:val="fr-CH" w:eastAsia="zh-CN"/>
        </w:rPr>
        <w:t xml:space="preserve">Grille tarifaire 2020 des prestations proposées en parasitologie vétérinaire au laboratoire de l’Antenne FiBL France.  </w:t>
      </w:r>
    </w:p>
    <w:p>
      <w:pPr>
        <w:pStyle w:val="Normal"/>
        <w:spacing w:before="0" w:after="0"/>
        <w:jc w:val="both"/>
        <w:rPr/>
      </w:pPr>
      <w:r>
        <w:rPr>
          <w:rFonts w:ascii="Gill Sans MT" w:hAnsi="Gill Sans MT"/>
          <w:i/>
          <w:sz w:val="20"/>
          <w:szCs w:val="23"/>
          <w:lang w:val="fr-CH" w:eastAsia="zh-CN"/>
        </w:rPr>
        <w:t xml:space="preserve">Espèces concernées : caprins, ovins, bovins, porcins, équins, asins.  </w:t>
      </w:r>
    </w:p>
    <w:p>
      <w:pPr>
        <w:pStyle w:val="Normal"/>
        <w:rPr/>
      </w:pPr>
      <w:r>
        <w:rPr/>
      </w:r>
    </w:p>
    <w:tbl>
      <w:tblPr>
        <w:tblStyle w:val="Grilledutableau"/>
        <w:tblpPr w:bottomFromText="0" w:horzAnchor="margin" w:leftFromText="141" w:rightFromText="141" w:tblpX="0" w:tblpXSpec="center" w:tblpY="-15" w:topFromText="0" w:vertAnchor="text"/>
        <w:tblW w:w="107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14"/>
        <w:gridCol w:w="2257"/>
      </w:tblGrid>
      <w:tr>
        <w:trPr>
          <w:trHeight w:val="333" w:hRule="atLeast"/>
        </w:trPr>
        <w:tc>
          <w:tcPr>
            <w:tcW w:w="8514" w:type="dxa"/>
            <w:tcBorders>
              <w:top w:val="nil"/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b/>
                <w:b/>
                <w:smallCaps/>
              </w:rPr>
            </w:pPr>
            <w:r>
              <w:rPr>
                <w:b/>
                <w:smallCaps/>
              </w:rPr>
            </w:r>
          </w:p>
        </w:tc>
        <w:tc>
          <w:tcPr>
            <w:tcW w:w="225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mallCaps/>
                <w:lang w:val="en-GB"/>
              </w:rPr>
            </w:pPr>
            <w:r>
              <w:rPr>
                <w:b/>
                <w:smallCaps/>
                <w:lang w:val="en-GB"/>
              </w:rPr>
              <w:t>Montant (en €)</w:t>
            </w:r>
          </w:p>
        </w:tc>
      </w:tr>
      <w:tr>
        <w:trPr>
          <w:trHeight w:val="680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DejaVu Sans"/>
                <w:b/>
                <w:smallCaps/>
                <w:color w:val="00000A"/>
                <w:kern w:val="0"/>
                <w:sz w:val="22"/>
                <w:szCs w:val="22"/>
                <w:lang w:val="fr-FR" w:eastAsia="en-US" w:bidi="ar-SA"/>
              </w:rPr>
              <w:t>Parasites</w:t>
            </w:r>
            <w:r>
              <w:rPr>
                <w:b/>
                <w:smallCaps/>
              </w:rPr>
              <w:t xml:space="preserve"> </w:t>
            </w:r>
            <w:r>
              <w:rPr>
                <w:rFonts w:eastAsia="Calibri" w:cs="DejaVu Sans"/>
                <w:b/>
                <w:smallCaps/>
                <w:color w:val="00000A"/>
                <w:kern w:val="0"/>
                <w:sz w:val="22"/>
                <w:szCs w:val="22"/>
                <w:lang w:val="fr-FR" w:eastAsia="en-US" w:bidi="ar-SA"/>
              </w:rPr>
              <w:t>g</w:t>
            </w:r>
            <w:r>
              <w:rPr>
                <w:b/>
                <w:smallCaps/>
              </w:rPr>
              <w:t>astro-</w:t>
            </w:r>
            <w:r>
              <w:rPr>
                <w:rFonts w:eastAsia="Calibri" w:cs="DejaVu Sans"/>
                <w:b/>
                <w:smallCaps/>
                <w:color w:val="00000A"/>
                <w:kern w:val="0"/>
                <w:sz w:val="22"/>
                <w:szCs w:val="22"/>
                <w:lang w:val="fr-FR" w:eastAsia="en-US" w:bidi="ar-SA"/>
              </w:rPr>
              <w:t>i</w:t>
            </w:r>
            <w:r>
              <w:rPr>
                <w:b/>
                <w:smallCaps/>
              </w:rPr>
              <w:t xml:space="preserve">ntestinaux </w:t>
            </w:r>
          </w:p>
          <w:p>
            <w:pPr>
              <w:pStyle w:val="Normal"/>
              <w:spacing w:before="0" w:after="0"/>
              <w:rPr>
                <w:b/>
                <w:b/>
                <w:smallCaps/>
              </w:rPr>
            </w:pPr>
            <w:r>
              <w:rPr>
                <w:smallCaps/>
                <w:sz w:val="18"/>
              </w:rPr>
              <w:t xml:space="preserve">(méthode quantitative McMaster - NaCl) </w:t>
            </w:r>
          </w:p>
        </w:tc>
      </w:tr>
      <w:tr>
        <w:trPr>
          <w:trHeight w:val="381" w:hRule="atLeast"/>
        </w:trPr>
        <w:tc>
          <w:tcPr>
            <w:tcW w:w="8514" w:type="dxa"/>
            <w:tcBorders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en-GB" w:eastAsia="en-US" w:bidi="ar-SA"/>
              </w:rPr>
              <w:t>A</w:t>
            </w:r>
            <w:r>
              <w:rPr>
                <w:lang w:val="en-GB"/>
              </w:rPr>
              <w:t xml:space="preserve">nalyse individuelle (1 </w:t>
            </w: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en-GB" w:eastAsia="en-US" w:bidi="ar-SA"/>
              </w:rPr>
              <w:t>animal</w:t>
            </w:r>
            <w:r>
              <w:rPr>
                <w:lang w:val="en-GB"/>
              </w:rPr>
              <w:t>)</w:t>
            </w:r>
          </w:p>
        </w:tc>
        <w:tc>
          <w:tcPr>
            <w:tcW w:w="2257" w:type="dxa"/>
            <w:tcBorders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14,60 €</w:t>
            </w:r>
          </w:p>
        </w:tc>
      </w:tr>
      <w:tr>
        <w:trPr>
          <w:trHeight w:val="394" w:hRule="atLeast"/>
        </w:trPr>
        <w:tc>
          <w:tcPr>
            <w:tcW w:w="8514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fr-FR" w:eastAsia="en-US" w:bidi="ar-SA"/>
              </w:rPr>
              <w:t>A</w:t>
            </w:r>
            <w:r>
              <w:rPr/>
              <w:t xml:space="preserve">nalyse de mélange (5 </w:t>
            </w: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fr-FR" w:eastAsia="en-US" w:bidi="ar-SA"/>
              </w:rPr>
              <w:t>animaux maximum</w:t>
            </w:r>
            <w:r>
              <w:rPr/>
              <w:t>)</w:t>
            </w:r>
          </w:p>
        </w:tc>
        <w:tc>
          <w:tcPr>
            <w:tcW w:w="2257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20,00 €</w:t>
            </w:r>
          </w:p>
        </w:tc>
      </w:tr>
      <w:tr>
        <w:trPr>
          <w:trHeight w:val="394" w:hRule="atLeast"/>
        </w:trPr>
        <w:tc>
          <w:tcPr>
            <w:tcW w:w="8514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en-GB" w:eastAsia="en-US" w:bidi="ar-SA"/>
              </w:rPr>
              <w:t>P</w:t>
            </w:r>
            <w:r>
              <w:rPr>
                <w:lang w:val="en-GB"/>
              </w:rPr>
              <w:t xml:space="preserve">ack de 3 échantillons </w:t>
            </w:r>
            <w:r>
              <w:rPr>
                <w:lang w:val="en-GB"/>
              </w:rPr>
              <w:t>individuels</w:t>
            </w:r>
          </w:p>
        </w:tc>
        <w:tc>
          <w:tcPr>
            <w:tcW w:w="2257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GB"/>
              </w:rPr>
              <w:t>35,00 €</w:t>
            </w:r>
          </w:p>
        </w:tc>
      </w:tr>
      <w:tr>
        <w:trPr>
          <w:trHeight w:val="394" w:hRule="atLeast"/>
        </w:trPr>
        <w:tc>
          <w:tcPr>
            <w:tcW w:w="8514" w:type="dxa"/>
            <w:tcBorders>
              <w:top w:val="nil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en-GB" w:eastAsia="en-US" w:bidi="ar-SA"/>
              </w:rPr>
              <w:t>P</w:t>
            </w:r>
            <w:r>
              <w:rPr>
                <w:lang w:val="en-GB"/>
              </w:rPr>
              <w:t xml:space="preserve">ack de 3 échantillons </w:t>
            </w:r>
            <w:r>
              <w:rPr>
                <w:lang w:val="en-GB"/>
              </w:rPr>
              <w:t>de mélange (5 animaux maximum)</w:t>
            </w:r>
          </w:p>
        </w:tc>
        <w:tc>
          <w:tcPr>
            <w:tcW w:w="2257" w:type="dxa"/>
            <w:tcBorders>
              <w:top w:val="nil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42,00 €</w:t>
            </w:r>
          </w:p>
        </w:tc>
      </w:tr>
      <w:tr>
        <w:trPr>
          <w:trHeight w:val="394" w:hRule="atLeast"/>
        </w:trPr>
        <w:tc>
          <w:tcPr>
            <w:tcW w:w="8514" w:type="dxa"/>
            <w:tcBorders>
              <w:top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fr-FR" w:eastAsia="en-US" w:bidi="ar-SA"/>
              </w:rPr>
              <w:t>P</w:t>
            </w:r>
            <w:r>
              <w:rPr/>
              <w:t xml:space="preserve">ack suivi annuel </w:t>
            </w:r>
            <w:r>
              <w:rPr>
                <w:i/>
              </w:rPr>
              <w:t>(4 envois de 3 échantillons par an)</w:t>
            </w:r>
            <w:r>
              <w:rPr/>
              <w:t xml:space="preserve"> </w:t>
            </w:r>
          </w:p>
        </w:tc>
        <w:tc>
          <w:tcPr>
            <w:tcW w:w="2257" w:type="dxa"/>
            <w:tcBorders>
              <w:top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130,00 €</w:t>
            </w:r>
          </w:p>
        </w:tc>
      </w:tr>
      <w:tr>
        <w:trPr>
          <w:trHeight w:val="82" w:hRule="atLeast"/>
        </w:trPr>
        <w:tc>
          <w:tcPr>
            <w:tcW w:w="10771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120" w:before="0" w:after="0"/>
              <w:rPr>
                <w:b/>
                <w:b/>
                <w:smallCaps/>
              </w:rPr>
            </w:pPr>
            <w:r>
              <w:rPr>
                <w:b/>
                <w:smallCaps/>
              </w:rPr>
            </w:r>
          </w:p>
        </w:tc>
      </w:tr>
      <w:tr>
        <w:trPr>
          <w:trHeight w:val="648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DejaVu Sans"/>
                <w:b/>
                <w:smallCaps/>
                <w:color w:val="00000A"/>
                <w:kern w:val="0"/>
                <w:sz w:val="22"/>
                <w:szCs w:val="22"/>
                <w:lang w:val="fr-FR" w:eastAsia="en-US" w:bidi="ar-SA"/>
              </w:rPr>
              <w:t>Parasites</w:t>
            </w:r>
            <w:r>
              <w:rPr>
                <w:b/>
                <w:smallCaps/>
              </w:rPr>
              <w:t xml:space="preserve"> </w:t>
            </w:r>
            <w:r>
              <w:rPr>
                <w:rFonts w:eastAsia="Calibri" w:cs="DejaVu Sans"/>
                <w:b/>
                <w:smallCaps/>
                <w:color w:val="00000A"/>
                <w:kern w:val="0"/>
                <w:sz w:val="22"/>
                <w:szCs w:val="22"/>
                <w:lang w:val="fr-FR" w:eastAsia="en-US" w:bidi="ar-SA"/>
              </w:rPr>
              <w:t>g</w:t>
            </w:r>
            <w:r>
              <w:rPr>
                <w:b/>
                <w:smallCaps/>
              </w:rPr>
              <w:t xml:space="preserve">astro-Intestinaux + </w:t>
            </w:r>
            <w:r>
              <w:rPr>
                <w:rFonts w:eastAsia="Calibri" w:cs="DejaVu Sans"/>
                <w:b/>
                <w:smallCaps/>
                <w:color w:val="00000A"/>
                <w:kern w:val="0"/>
                <w:sz w:val="22"/>
                <w:szCs w:val="22"/>
                <w:lang w:val="fr-FR" w:eastAsia="en-US" w:bidi="ar-SA"/>
              </w:rPr>
              <w:t>p</w:t>
            </w:r>
            <w:r>
              <w:rPr>
                <w:b/>
                <w:smallCaps/>
              </w:rPr>
              <w:t xml:space="preserve">etite douve </w:t>
            </w:r>
          </w:p>
          <w:p>
            <w:pPr>
              <w:pStyle w:val="Normal"/>
              <w:spacing w:before="0" w:after="0"/>
              <w:rPr>
                <w:b/>
                <w:b/>
                <w:smallCaps/>
              </w:rPr>
            </w:pPr>
            <w:r>
              <w:rPr>
                <w:smallCaps/>
                <w:sz w:val="18"/>
              </w:rPr>
              <w:t>(méthode quantitative McMaster - ZnCl</w:t>
            </w:r>
            <w:r>
              <w:rPr>
                <w:smallCaps/>
                <w:sz w:val="18"/>
                <w:vertAlign w:val="subscript"/>
              </w:rPr>
              <w:t>2</w:t>
            </w:r>
            <w:r>
              <w:rPr>
                <w:smallCaps/>
                <w:sz w:val="18"/>
              </w:rPr>
              <w:t xml:space="preserve">) </w:t>
            </w:r>
          </w:p>
        </w:tc>
      </w:tr>
      <w:tr>
        <w:trPr>
          <w:trHeight w:val="183" w:hRule="atLeast"/>
        </w:trPr>
        <w:tc>
          <w:tcPr>
            <w:tcW w:w="8514" w:type="dxa"/>
            <w:tcBorders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en-GB" w:eastAsia="en-US" w:bidi="ar-SA"/>
              </w:rPr>
              <w:t>A</w:t>
            </w:r>
            <w:r>
              <w:rPr>
                <w:lang w:val="en-GB"/>
              </w:rPr>
              <w:t xml:space="preserve">nalyse individuelle (1 </w:t>
            </w: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en-GB" w:eastAsia="en-US" w:bidi="ar-SA"/>
              </w:rPr>
              <w:t>animal</w:t>
            </w:r>
            <w:r>
              <w:rPr>
                <w:lang w:val="en-GB"/>
              </w:rPr>
              <w:t>)</w:t>
            </w:r>
          </w:p>
        </w:tc>
        <w:tc>
          <w:tcPr>
            <w:tcW w:w="2257" w:type="dxa"/>
            <w:tcBorders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15,60 €</w:t>
            </w:r>
          </w:p>
        </w:tc>
      </w:tr>
      <w:tr>
        <w:trPr>
          <w:trHeight w:val="183" w:hRule="atLeast"/>
        </w:trPr>
        <w:tc>
          <w:tcPr>
            <w:tcW w:w="8514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fr-FR" w:eastAsia="en-US" w:bidi="ar-SA"/>
              </w:rPr>
              <w:t>A</w:t>
            </w:r>
            <w:r>
              <w:rPr/>
              <w:t xml:space="preserve">nalyse de mélange (5 </w:t>
            </w: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fr-FR" w:eastAsia="en-US" w:bidi="ar-SA"/>
              </w:rPr>
              <w:t>animaux maximum</w:t>
            </w:r>
            <w:r>
              <w:rPr/>
              <w:t>)</w:t>
            </w:r>
          </w:p>
        </w:tc>
        <w:tc>
          <w:tcPr>
            <w:tcW w:w="2257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21,00 €</w:t>
            </w:r>
          </w:p>
        </w:tc>
      </w:tr>
      <w:tr>
        <w:trPr>
          <w:trHeight w:val="183" w:hRule="atLeast"/>
        </w:trPr>
        <w:tc>
          <w:tcPr>
            <w:tcW w:w="8514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en-GB" w:eastAsia="en-US" w:bidi="ar-SA"/>
              </w:rPr>
              <w:t>P</w:t>
            </w:r>
            <w:r>
              <w:rPr>
                <w:lang w:val="en-GB"/>
              </w:rPr>
              <w:t xml:space="preserve">ack de 3 échantillons </w:t>
            </w:r>
            <w:r>
              <w:rPr>
                <w:lang w:val="en-GB"/>
              </w:rPr>
              <w:t>individuels</w:t>
            </w:r>
          </w:p>
        </w:tc>
        <w:tc>
          <w:tcPr>
            <w:tcW w:w="2257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38,00 €</w:t>
            </w:r>
          </w:p>
        </w:tc>
      </w:tr>
      <w:tr>
        <w:trPr>
          <w:trHeight w:val="456" w:hRule="atLeast"/>
        </w:trPr>
        <w:tc>
          <w:tcPr>
            <w:tcW w:w="8514" w:type="dxa"/>
            <w:tcBorders>
              <w:top w:val="nil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en-GB" w:eastAsia="en-US" w:bidi="ar-SA"/>
              </w:rPr>
              <w:t>P</w:t>
            </w:r>
            <w:r>
              <w:rPr>
                <w:lang w:val="en-GB"/>
              </w:rPr>
              <w:t xml:space="preserve">ack de 3 échantillons </w:t>
            </w:r>
            <w:r>
              <w:rPr>
                <w:lang w:val="en-GB"/>
              </w:rPr>
              <w:t>de mélange (5 animaux maximum)</w:t>
            </w:r>
          </w:p>
        </w:tc>
        <w:tc>
          <w:tcPr>
            <w:tcW w:w="2257" w:type="dxa"/>
            <w:tcBorders>
              <w:top w:val="nil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45,00 €</w:t>
            </w:r>
          </w:p>
        </w:tc>
      </w:tr>
      <w:tr>
        <w:trPr>
          <w:trHeight w:val="183" w:hRule="atLeast"/>
        </w:trPr>
        <w:tc>
          <w:tcPr>
            <w:tcW w:w="8514" w:type="dxa"/>
            <w:tcBorders>
              <w:top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fr-FR" w:eastAsia="en-US" w:bidi="ar-SA"/>
              </w:rPr>
              <w:t>P</w:t>
            </w:r>
            <w:r>
              <w:rPr/>
              <w:t xml:space="preserve">ack suivi annuel </w:t>
            </w:r>
            <w:r>
              <w:rPr>
                <w:i/>
              </w:rPr>
              <w:t>(4 envois de 3 échantillons par an)</w:t>
            </w:r>
            <w:r>
              <w:rPr/>
              <w:t xml:space="preserve"> </w:t>
            </w:r>
          </w:p>
        </w:tc>
        <w:tc>
          <w:tcPr>
            <w:tcW w:w="2257" w:type="dxa"/>
            <w:tcBorders>
              <w:top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GB"/>
              </w:rPr>
              <w:t>140,00 €</w:t>
            </w:r>
          </w:p>
        </w:tc>
      </w:tr>
      <w:tr>
        <w:trPr>
          <w:trHeight w:val="20" w:hRule="atLeast"/>
        </w:trPr>
        <w:tc>
          <w:tcPr>
            <w:tcW w:w="10771" w:type="dxa"/>
            <w:gridSpan w:val="2"/>
            <w:tcBorders/>
            <w:shd w:fill="auto" w:val="clear"/>
          </w:tcPr>
          <w:p>
            <w:pPr>
              <w:pStyle w:val="Normal"/>
              <w:spacing w:lineRule="auto" w:line="12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72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before="57" w:after="57"/>
              <w:rPr/>
            </w:pPr>
            <w:r>
              <w:rPr>
                <w:rFonts w:eastAsia="Calibri" w:cs="DejaVu Sans"/>
                <w:b/>
                <w:smallCaps/>
                <w:color w:val="00000A"/>
                <w:kern w:val="0"/>
                <w:sz w:val="22"/>
                <w:szCs w:val="22"/>
                <w:lang w:val="fr-FR" w:eastAsia="en-US" w:bidi="ar-SA"/>
              </w:rPr>
              <w:t>Strongles</w:t>
            </w:r>
            <w:r>
              <w:rPr>
                <w:b/>
                <w:smallCaps/>
              </w:rPr>
              <w:t xml:space="preserve"> pulmonaires </w:t>
            </w:r>
            <w:r>
              <w:rPr>
                <w:smallCaps/>
                <w:sz w:val="18"/>
              </w:rPr>
              <w:t>(méthode semi-quantitative de Baermann)</w:t>
            </w:r>
          </w:p>
        </w:tc>
      </w:tr>
      <w:tr>
        <w:trPr>
          <w:trHeight w:val="183" w:hRule="atLeast"/>
        </w:trPr>
        <w:tc>
          <w:tcPr>
            <w:tcW w:w="8514" w:type="dxa"/>
            <w:tcBorders/>
            <w:shd w:fill="auto" w:val="clear"/>
          </w:tcPr>
          <w:p>
            <w:pPr>
              <w:pStyle w:val="Normal"/>
              <w:spacing w:before="57" w:after="57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en-GB" w:eastAsia="en-US" w:bidi="ar-SA"/>
              </w:rPr>
              <w:t>A</w:t>
            </w:r>
            <w:r>
              <w:rPr>
                <w:lang w:val="en-GB"/>
              </w:rPr>
              <w:t xml:space="preserve">nalyse individuelle </w:t>
            </w:r>
            <w:r>
              <w:rPr>
                <w:lang w:val="en-GB"/>
              </w:rPr>
              <w:t>(1 animal)</w:t>
            </w:r>
          </w:p>
        </w:tc>
        <w:tc>
          <w:tcPr>
            <w:tcW w:w="225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10,30 €</w:t>
            </w:r>
          </w:p>
        </w:tc>
      </w:tr>
      <w:tr>
        <w:trPr>
          <w:trHeight w:val="183" w:hRule="atLeast"/>
        </w:trPr>
        <w:tc>
          <w:tcPr>
            <w:tcW w:w="8514" w:type="dxa"/>
            <w:tcBorders/>
            <w:shd w:fill="auto" w:val="clear"/>
          </w:tcPr>
          <w:p>
            <w:pPr>
              <w:pStyle w:val="Normal"/>
              <w:spacing w:before="57" w:after="57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fr-FR" w:eastAsia="en-US" w:bidi="ar-SA"/>
              </w:rPr>
              <w:t>A</w:t>
            </w:r>
            <w:r>
              <w:rPr/>
              <w:t xml:space="preserve">nalyse de mélange (5 </w:t>
            </w: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fr-FR" w:eastAsia="en-US" w:bidi="ar-SA"/>
              </w:rPr>
              <w:t>animaux maximum</w:t>
            </w:r>
            <w:r>
              <w:rPr/>
              <w:t>)</w:t>
            </w:r>
          </w:p>
        </w:tc>
        <w:tc>
          <w:tcPr>
            <w:tcW w:w="225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18,00 €</w:t>
            </w:r>
          </w:p>
        </w:tc>
      </w:tr>
      <w:tr>
        <w:trPr>
          <w:trHeight w:val="82" w:hRule="atLeast"/>
        </w:trPr>
        <w:tc>
          <w:tcPr>
            <w:tcW w:w="10771" w:type="dxa"/>
            <w:gridSpan w:val="2"/>
            <w:tcBorders/>
            <w:shd w:fill="auto" w:val="clear"/>
          </w:tcPr>
          <w:p>
            <w:pPr>
              <w:pStyle w:val="Normal"/>
              <w:spacing w:lineRule="auto" w:line="12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33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rFonts w:eastAsia="Calibri" w:cs="DejaVu Sans"/>
                <w:b/>
                <w:smallCaps/>
                <w:color w:val="00000A"/>
                <w:kern w:val="0"/>
                <w:sz w:val="22"/>
                <w:szCs w:val="22"/>
                <w:lang w:val="fr-FR" w:eastAsia="en-US" w:bidi="ar-SA"/>
              </w:rPr>
              <w:t>G</w:t>
            </w:r>
            <w:r>
              <w:rPr>
                <w:b/>
                <w:smallCaps/>
              </w:rPr>
              <w:t xml:space="preserve">rande douve et </w:t>
            </w:r>
            <w:r>
              <w:rPr>
                <w:rFonts w:eastAsia="Calibri" w:cs="DejaVu Sans"/>
                <w:b/>
                <w:smallCaps/>
                <w:color w:val="00000A"/>
                <w:kern w:val="0"/>
                <w:sz w:val="22"/>
                <w:szCs w:val="22"/>
                <w:lang w:val="fr-FR" w:eastAsia="en-US" w:bidi="ar-SA"/>
              </w:rPr>
              <w:t>p</w:t>
            </w:r>
            <w:r>
              <w:rPr>
                <w:b/>
                <w:smallCaps/>
              </w:rPr>
              <w:t xml:space="preserve">aramphistome </w:t>
            </w:r>
            <w:r>
              <w:rPr>
                <w:smallCaps/>
                <w:sz w:val="18"/>
              </w:rPr>
              <w:t>(méthode qualitative de sédimentation)</w:t>
            </w:r>
          </w:p>
        </w:tc>
      </w:tr>
      <w:tr>
        <w:trPr>
          <w:trHeight w:val="183" w:hRule="atLeast"/>
        </w:trPr>
        <w:tc>
          <w:tcPr>
            <w:tcW w:w="8514" w:type="dxa"/>
            <w:tcBorders/>
            <w:shd w:fill="auto" w:val="clear"/>
          </w:tcPr>
          <w:p>
            <w:pPr>
              <w:pStyle w:val="Normal"/>
              <w:spacing w:before="57" w:after="57"/>
              <w:rPr/>
            </w:pPr>
            <w:r>
              <w:rPr/>
              <w:t>Analyse de mélange (mélange de 4 échantillons)</w:t>
            </w:r>
          </w:p>
        </w:tc>
        <w:tc>
          <w:tcPr>
            <w:tcW w:w="225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19,50 €</w:t>
            </w:r>
          </w:p>
        </w:tc>
      </w:tr>
      <w:tr>
        <w:trPr>
          <w:trHeight w:val="82" w:hRule="atLeast"/>
        </w:trPr>
        <w:tc>
          <w:tcPr>
            <w:tcW w:w="10771" w:type="dxa"/>
            <w:gridSpan w:val="2"/>
            <w:tcBorders/>
            <w:shd w:fill="auto" w:val="clear"/>
          </w:tcPr>
          <w:p>
            <w:pPr>
              <w:pStyle w:val="Normal"/>
              <w:spacing w:lineRule="auto" w:line="12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33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b/>
                <w:smallCaps/>
              </w:rPr>
              <w:t xml:space="preserve">Recherche et Quantification </w:t>
            </w:r>
            <w:r>
              <w:rPr>
                <w:b/>
                <w:i/>
                <w:smallCaps/>
              </w:rPr>
              <w:t>Haemonchus contortus</w:t>
            </w:r>
            <w:r>
              <w:rPr>
                <w:b/>
                <w:smallCaps/>
              </w:rPr>
              <w:t xml:space="preserve"> </w:t>
            </w:r>
            <w:r>
              <w:rPr>
                <w:smallCaps/>
                <w:sz w:val="18"/>
              </w:rPr>
              <w:t>(analyse qPCR)</w:t>
            </w:r>
          </w:p>
        </w:tc>
      </w:tr>
      <w:tr>
        <w:trPr>
          <w:trHeight w:val="183" w:hRule="atLeast"/>
        </w:trPr>
        <w:tc>
          <w:tcPr>
            <w:tcW w:w="8514" w:type="dxa"/>
            <w:tcBorders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fr-FR" w:eastAsia="en-US" w:bidi="ar-SA"/>
              </w:rPr>
              <w:t>A</w:t>
            </w:r>
            <w:r>
              <w:rPr/>
              <w:t>nalyse de mélange (mélange de 5 échantillons)</w:t>
            </w:r>
          </w:p>
        </w:tc>
        <w:tc>
          <w:tcPr>
            <w:tcW w:w="2257" w:type="dxa"/>
            <w:tcBorders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49,95 €</w:t>
            </w:r>
          </w:p>
        </w:tc>
      </w:tr>
      <w:tr>
        <w:trPr>
          <w:trHeight w:val="82" w:hRule="atLeast"/>
        </w:trPr>
        <w:tc>
          <w:tcPr>
            <w:tcW w:w="10771" w:type="dxa"/>
            <w:gridSpan w:val="2"/>
            <w:tcBorders/>
            <w:shd w:fill="auto" w:val="clear"/>
          </w:tcPr>
          <w:p>
            <w:pPr>
              <w:pStyle w:val="Normal"/>
              <w:spacing w:lineRule="auto" w:line="12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33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b/>
                <w:smallCaps/>
              </w:rPr>
              <w:t xml:space="preserve">Test d’efficacité d’un vermifuge </w:t>
            </w:r>
            <w:r>
              <w:rPr>
                <w:smallCaps/>
                <w:sz w:val="18"/>
              </w:rPr>
              <w:t>(test de réduction du nombre d’œufs fécaux)</w:t>
            </w:r>
          </w:p>
        </w:tc>
      </w:tr>
      <w:tr>
        <w:trPr>
          <w:trHeight w:val="183" w:hRule="atLeast"/>
        </w:trPr>
        <w:tc>
          <w:tcPr>
            <w:tcW w:w="8514" w:type="dxa"/>
            <w:tcBorders/>
            <w:shd w:fill="auto" w:val="clear"/>
          </w:tcPr>
          <w:p>
            <w:pPr>
              <w:pStyle w:val="Normal"/>
              <w:spacing w:before="57" w:after="57"/>
              <w:rPr/>
            </w:pPr>
            <w:r>
              <w:rPr/>
              <w:t>Analyses coprologiques de mélange avant et après vermifuge</w:t>
            </w:r>
          </w:p>
        </w:tc>
        <w:tc>
          <w:tcPr>
            <w:tcW w:w="225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50,00 €</w:t>
            </w:r>
          </w:p>
        </w:tc>
      </w:tr>
      <w:tr>
        <w:trPr>
          <w:trHeight w:val="7" w:hRule="atLeast"/>
        </w:trPr>
        <w:tc>
          <w:tcPr>
            <w:tcW w:w="10771" w:type="dxa"/>
            <w:gridSpan w:val="2"/>
            <w:tcBorders/>
            <w:shd w:fill="auto" w:val="clear"/>
          </w:tcPr>
          <w:p>
            <w:pPr>
              <w:pStyle w:val="Normal"/>
              <w:spacing w:lineRule="auto" w:line="12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33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b/>
                <w:smallCaps/>
                <w:lang w:val="en-GB"/>
              </w:rPr>
              <w:t>Transport - Collecte des echantillons</w:t>
            </w:r>
          </w:p>
        </w:tc>
      </w:tr>
      <w:tr>
        <w:trPr>
          <w:trHeight w:val="670" w:hRule="atLeast"/>
        </w:trPr>
        <w:tc>
          <w:tcPr>
            <w:tcW w:w="8514" w:type="dxa"/>
            <w:tcBorders/>
            <w:shd w:color="auto" w:fill="FFFFFF" w:themeFill="background1" w:val="clear"/>
          </w:tcPr>
          <w:p>
            <w:pPr>
              <w:pStyle w:val="Normal"/>
              <w:spacing w:before="120" w:after="0"/>
              <w:rPr/>
            </w:pPr>
            <w:r>
              <w:rPr>
                <w:rFonts w:eastAsia="Calibri" w:cs="DejaVu Sans"/>
                <w:color w:val="00000A"/>
                <w:kern w:val="0"/>
                <w:sz w:val="22"/>
                <w:szCs w:val="22"/>
                <w:lang w:val="fr-FR" w:eastAsia="en-US" w:bidi="ar-SA"/>
              </w:rPr>
              <w:t>E</w:t>
            </w:r>
            <w:r>
              <w:rPr/>
              <w:t>nvoi d’un kit d’échantillonnage comprenant :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516" w:hanging="194"/>
              <w:contextualSpacing/>
              <w:rPr>
                <w:lang w:val="en-GB"/>
              </w:rPr>
            </w:pPr>
            <w:r>
              <w:rPr>
                <w:lang w:val="en-GB"/>
              </w:rPr>
              <w:t>fiche procédure de prélèvement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517" w:hanging="194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sachets et </w:t>
            </w:r>
            <w:r>
              <w:rPr>
                <w:lang w:val="en-GB"/>
              </w:rPr>
              <w:t>gants de prélèvement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120"/>
              <w:ind w:left="516" w:hanging="194"/>
              <w:contextualSpacing/>
              <w:rPr/>
            </w:pPr>
            <w:r>
              <w:rPr/>
              <w:t>enveloppe affranchie pour envoi retour au laboratoire</w:t>
            </w:r>
          </w:p>
        </w:tc>
        <w:tc>
          <w:tcPr>
            <w:tcW w:w="2257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9,00 €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FiBLstandard"/>
        <w:widowControl/>
        <w:bidi w:val="0"/>
        <w:spacing w:lineRule="atLeast" w:line="280" w:before="0" w:after="160"/>
        <w:jc w:val="left"/>
        <w:rPr/>
      </w:pPr>
      <w:r>
        <w:rPr>
          <w:rFonts w:cs="Calibri" w:ascii="Calibri" w:hAnsi="Calibri"/>
          <w:lang w:val="fr-FR"/>
        </w:rPr>
        <w:t xml:space="preserve">TVA non applicable, art 293 B du CGI 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color w:val="999999"/>
      </w:rPr>
    </w:pPr>
    <w:r>
      <w:rPr>
        <w:color w:val="999999"/>
      </w:rPr>
    </w:r>
  </w:p>
  <w:p>
    <w:pPr>
      <w:pStyle w:val="FiBLfusszeile"/>
      <w:ind w:left="0" w:right="-569" w:hanging="0"/>
      <w:rPr>
        <w:color w:val="999999"/>
      </w:rPr>
    </w:pPr>
    <w:r>
      <w:rPr>
        <w:b/>
        <w:bCs/>
        <w:color w:val="999999"/>
        <w:lang w:val="fr-CH"/>
      </w:rPr>
      <w:t>Antenne FiBL France</w:t>
    </w:r>
    <w:r>
      <w:rPr>
        <w:color w:val="999999"/>
        <w:lang w:val="fr-CH"/>
      </w:rPr>
      <w:t xml:space="preserve"> - Pôle Bio - Ecosite du Val de Drôme F-26400 EURRE</w:t>
    </w:r>
  </w:p>
  <w:p>
    <w:pPr>
      <w:pStyle w:val="FiBLfusszeile"/>
      <w:ind w:left="0" w:right="-569" w:hanging="0"/>
      <w:jc w:val="center"/>
      <w:rPr/>
    </w:pPr>
    <w:r>
      <w:rPr>
        <w:color w:val="999999"/>
        <w:lang w:val="fr-CH"/>
      </w:rPr>
      <w:t xml:space="preserve">Tel +33 4 75 25 41 55- </w:t>
    </w:r>
    <w:hyperlink r:id="rId1">
      <w:r>
        <w:rPr>
          <w:rStyle w:val="LienInternet"/>
          <w:color w:val="999999"/>
          <w:lang w:val="fr-CH"/>
        </w:rPr>
        <w:t>www.</w:t>
      </w:r>
      <w:r>
        <w:rPr>
          <w:rStyle w:val="LienInternet"/>
          <w:rFonts w:eastAsia="Sitka Text" w:cs="Sitka Text"/>
          <w:color w:val="999999"/>
          <w:w w:val="105"/>
          <w:sz w:val="20"/>
          <w:u w:val="single"/>
          <w:lang w:val="fr-CH"/>
        </w:rPr>
        <w:t>p</w:t>
      </w:r>
    </w:hyperlink>
    <w:r>
      <w:rPr>
        <w:rFonts w:eastAsia="Sitka Text" w:cs="Sitka Text"/>
        <w:color w:val="999999"/>
        <w:w w:val="105"/>
        <w:sz w:val="20"/>
        <w:u w:val="single"/>
        <w:lang w:val="fr-CH"/>
      </w:rPr>
      <w:t>arasitlab.org</w:t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0" w:type="dxa"/>
      <w:tblCellMar>
        <w:top w:w="0" w:type="dxa"/>
        <w:left w:w="30" w:type="dxa"/>
        <w:bottom w:w="0" w:type="dxa"/>
        <w:right w:w="0" w:type="dxa"/>
      </w:tblCellMar>
      <w:tblLook w:val="0000" w:noVBand="0" w:firstColumn="0" w:lastColumn="0" w:noHBand="0" w:lastRow="0" w:firstRow="0"/>
    </w:tblPr>
    <w:tblGrid>
      <w:gridCol w:w="7566"/>
      <w:gridCol w:w="1505"/>
    </w:tblGrid>
    <w:tr>
      <w:trPr>
        <w:trHeight w:val="599" w:hRule="atLeast"/>
      </w:trPr>
      <w:tc>
        <w:tcPr>
          <w:tcW w:w="7566" w:type="dxa"/>
          <w:tcBorders/>
          <w:shd w:color="auto" w:fill="FFFFFF" w:val="clear"/>
        </w:tcPr>
        <w:p>
          <w:pPr>
            <w:pStyle w:val="Normal"/>
            <w:spacing w:lineRule="auto" w:line="240" w:before="0" w:after="0"/>
            <w:rPr>
              <w:lang w:val="de-CH" w:eastAsia="zh-CN"/>
            </w:rPr>
          </w:pPr>
          <w:r>
            <w:rPr>
              <w:lang w:val="de-CH" w:eastAsia="zh-CN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-702945</wp:posOffset>
                </wp:positionH>
                <wp:positionV relativeFrom="paragraph">
                  <wp:posOffset>-261620</wp:posOffset>
                </wp:positionV>
                <wp:extent cx="2660015" cy="73469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015" cy="734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05" w:type="dxa"/>
          <w:tcBorders/>
          <w:shd w:color="auto" w:fill="FFFFFF" w:val="clear"/>
        </w:tcPr>
        <w:p>
          <w:pPr>
            <w:pStyle w:val="Entte"/>
            <w:tabs>
              <w:tab w:val="center" w:pos="4536" w:leader="none"/>
              <w:tab w:val="right" w:pos="7653" w:leader="none"/>
              <w:tab w:val="right" w:pos="9072" w:leader="none"/>
            </w:tabs>
            <w:jc w:val="right"/>
            <w:rPr>
              <w:lang w:val="de-CH" w:eastAsia="zh-CN"/>
            </w:rPr>
          </w:pPr>
          <w:r>
            <w:rPr>
              <w:lang w:val="de-CH" w:eastAsia="zh-CN"/>
            </w:rPr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qFormat/>
    <w:rPr>
      <w:sz w:val="16"/>
      <w:szCs w:val="16"/>
    </w:rPr>
  </w:style>
  <w:style w:type="character" w:styleId="CommentaireCar" w:customStyle="1">
    <w:name w:val="Commentaire Car"/>
    <w:basedOn w:val="DefaultParagraphFont"/>
    <w:qFormat/>
    <w:rPr>
      <w:sz w:val="20"/>
      <w:szCs w:val="20"/>
    </w:rPr>
  </w:style>
  <w:style w:type="character" w:styleId="ObjetducommentaireCar" w:customStyle="1">
    <w:name w:val="Objet du commentaire Car"/>
    <w:basedOn w:val="CommentaireCar"/>
    <w:qFormat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qFormat/>
    <w:rPr>
      <w:rFonts w:ascii="Segoe UI" w:hAnsi="Segoe UI" w:cs="Segoe UI"/>
      <w:sz w:val="18"/>
      <w:szCs w:val="18"/>
    </w:rPr>
  </w:style>
  <w:style w:type="character" w:styleId="EntteCar" w:customStyle="1">
    <w:name w:val="En-tête Car"/>
    <w:basedOn w:val="DefaultParagraphFont"/>
    <w:qFormat/>
    <w:rPr/>
  </w:style>
  <w:style w:type="character" w:styleId="PieddepageCar" w:customStyle="1">
    <w:name w:val="Pied de page Car"/>
    <w:basedOn w:val="DefaultParagraphFont"/>
    <w:qFormat/>
    <w:rPr/>
  </w:style>
  <w:style w:type="character" w:styleId="EndNoteBibliographyTitleCar" w:customStyle="1">
    <w:name w:val="EndNote Bibliography Title Car"/>
    <w:basedOn w:val="DefaultParagraphFont"/>
    <w:qFormat/>
    <w:rPr>
      <w:rFonts w:ascii="Calibri" w:hAnsi="Calibri"/>
      <w:lang w:val="en-US"/>
    </w:rPr>
  </w:style>
  <w:style w:type="character" w:styleId="EndNoteBibliographyCar" w:customStyle="1">
    <w:name w:val="EndNote Bibliography Car"/>
    <w:basedOn w:val="DefaultParagraphFont"/>
    <w:qFormat/>
    <w:rPr>
      <w:rFonts w:ascii="Calibri" w:hAnsi="Calibri"/>
      <w:lang w:val="en-US"/>
    </w:rPr>
  </w:style>
  <w:style w:type="character" w:styleId="LienInternet">
    <w:name w:val="Lien Internet"/>
    <w:basedOn w:val="DefaultParagraphFont"/>
    <w:uiPriority w:val="99"/>
    <w:unhideWhenUsed/>
    <w:rsid w:val="00236f23"/>
    <w:rPr>
      <w:color w:val="0563C1" w:themeColor="hyperlink"/>
      <w:u w:val="single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CommentaireCar1" w:customStyle="1">
    <w:name w:val="Commentaire Car1"/>
    <w:basedOn w:val="DefaultParagraphFont"/>
    <w:link w:val="Commentaire"/>
    <w:uiPriority w:val="99"/>
    <w:qFormat/>
    <w:rsid w:val="00901576"/>
    <w:rPr>
      <w:color w:val="00000A"/>
      <w:szCs w:val="20"/>
    </w:rPr>
  </w:style>
  <w:style w:type="character" w:styleId="Normal1" w:customStyle="1">
    <w:name w:val="Normal1"/>
    <w:basedOn w:val="DefaultParagraphFont"/>
    <w:qFormat/>
    <w:rsid w:val="008c10ac"/>
    <w:rPr/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0f5377"/>
    <w:rPr>
      <w:color w:val="00000A"/>
      <w:szCs w:val="20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f5377"/>
    <w:rPr>
      <w:vertAlign w:val="superscript"/>
    </w:rPr>
  </w:style>
  <w:style w:type="character" w:styleId="Citationpublicationdate" w:customStyle="1">
    <w:name w:val="citation-publication-date"/>
    <w:basedOn w:val="DefaultParagraphFont"/>
    <w:qFormat/>
    <w:rsid w:val="009e3001"/>
    <w:rPr/>
  </w:style>
  <w:style w:type="character" w:styleId="FiBLstandardCar" w:customStyle="1">
    <w:name w:val="FiBL_standard Car"/>
    <w:basedOn w:val="DefaultParagraphFont"/>
    <w:link w:val="FiBLstandard"/>
    <w:qFormat/>
    <w:rsid w:val="0050728e"/>
    <w:rPr>
      <w:rFonts w:ascii="Gill Sans MT" w:hAnsi="Gill Sans MT" w:eastAsia="" w:cs="" w:cstheme="minorBidi" w:eastAsiaTheme="minorEastAsia"/>
      <w:sz w:val="22"/>
      <w:lang w:val="en-GB" w:eastAsia="zh-C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1" w:customStyle="1">
    <w:name w:val="Titre1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aireCar1"/>
    <w:uiPriority w:val="99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iBLfusszeile" w:customStyle="1">
    <w:name w:val="FiBL_fusszeile"/>
    <w:basedOn w:val="Normal"/>
    <w:qFormat/>
    <w:pPr>
      <w:widowControl w:val="false"/>
      <w:spacing w:lineRule="atLeast" w:line="240" w:before="0" w:after="0"/>
      <w:ind w:left="-369" w:right="-569" w:hanging="0"/>
    </w:pPr>
    <w:rPr>
      <w:rFonts w:ascii="Gill Sans MT" w:hAnsi="Gill Sans MT" w:eastAsia="Sitka Text" w:cs="Sitka Text"/>
      <w:color w:val="231F20"/>
      <w:w w:val="105"/>
      <w:sz w:val="20"/>
      <w:lang w:val="de-CH"/>
    </w:rPr>
  </w:style>
  <w:style w:type="paragraph" w:styleId="EndNoteBibliographyTitle" w:customStyle="1">
    <w:name w:val="EndNote Bibliography Title"/>
    <w:basedOn w:val="Normal"/>
    <w:qFormat/>
    <w:pPr>
      <w:spacing w:before="0" w:after="0"/>
      <w:jc w:val="center"/>
    </w:pPr>
    <w:rPr>
      <w:rFonts w:cs="Calibri"/>
      <w:lang w:val="en-US"/>
    </w:rPr>
  </w:style>
  <w:style w:type="paragraph" w:styleId="EndNoteBibliography" w:customStyle="1">
    <w:name w:val="EndNote Bibliography"/>
    <w:basedOn w:val="Normal"/>
    <w:qFormat/>
    <w:pPr>
      <w:spacing w:lineRule="auto" w:line="240"/>
      <w:jc w:val="both"/>
    </w:pPr>
    <w:rPr>
      <w:rFonts w:cs="Calibri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paragraph" w:styleId="Contenudetableau" w:customStyle="1">
    <w:name w:val="Contenu de tableau"/>
    <w:basedOn w:val="Normal"/>
    <w:qFormat/>
    <w:pPr/>
    <w:rPr/>
  </w:style>
  <w:style w:type="paragraph" w:styleId="Figure" w:customStyle="1">
    <w:name w:val="Figure"/>
    <w:basedOn w:val="Caption"/>
    <w:qFormat/>
    <w:pPr/>
    <w:rPr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f5377"/>
    <w:pPr>
      <w:spacing w:lineRule="auto" w:line="240" w:before="0" w:after="0"/>
    </w:pPr>
    <w:rPr>
      <w:sz w:val="20"/>
      <w:szCs w:val="20"/>
    </w:rPr>
  </w:style>
  <w:style w:type="paragraph" w:styleId="Revision">
    <w:name w:val="Revision"/>
    <w:uiPriority w:val="99"/>
    <w:semiHidden/>
    <w:qFormat/>
    <w:rsid w:val="005209f0"/>
    <w:pPr>
      <w:widowControl/>
      <w:bidi w:val="0"/>
      <w:spacing w:before="0" w:after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fr-FR" w:eastAsia="en-US" w:bidi="ar-SA"/>
    </w:rPr>
  </w:style>
  <w:style w:type="paragraph" w:styleId="FiBLtitle11" w:customStyle="1">
    <w:name w:val="FiBL_title_11"/>
    <w:basedOn w:val="Normal"/>
    <w:qFormat/>
    <w:rsid w:val="00a04eda"/>
    <w:pPr>
      <w:spacing w:lineRule="atLeast" w:line="400" w:before="0" w:after="240"/>
    </w:pPr>
    <w:rPr>
      <w:rFonts w:ascii="Gill Sans MT" w:hAnsi="Gill Sans MT" w:eastAsia="" w:cs="" w:cstheme="minorBidi" w:eastAsiaTheme="minorEastAsia"/>
      <w:color w:val="auto"/>
      <w:szCs w:val="26"/>
      <w:lang w:val="en-GB" w:eastAsia="zh-CN"/>
    </w:rPr>
  </w:style>
  <w:style w:type="paragraph" w:styleId="FiBLstandard" w:customStyle="1">
    <w:name w:val="FiBL_standard"/>
    <w:link w:val="FiBLstandardCar"/>
    <w:qFormat/>
    <w:rsid w:val="0050728e"/>
    <w:pPr>
      <w:widowControl/>
      <w:bidi w:val="0"/>
      <w:spacing w:lineRule="atLeast" w:line="280" w:before="0" w:after="160"/>
      <w:jc w:val="left"/>
    </w:pPr>
    <w:rPr>
      <w:rFonts w:ascii="Gill Sans MT" w:hAnsi="Gill Sans MT" w:eastAsia="" w:cs="" w:cstheme="minorBidi" w:eastAsiaTheme="minorEastAsia"/>
      <w:color w:val="auto"/>
      <w:kern w:val="0"/>
      <w:sz w:val="22"/>
      <w:szCs w:val="22"/>
      <w:lang w:val="en-GB" w:eastAsia="zh-CN" w:bidi="ar-SA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b48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fibl.org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3DEB-2D9D-4CD3-BBED-05F83C08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LibreOffice/6.3.5.2$Linux_X86_64 LibreOffice_project/30$Build-2</Application>
  <Pages>2</Pages>
  <Words>272</Words>
  <Characters>1521</Characters>
  <CharactersWithSpaces>1751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2020-03-05T13:25:00Z</dcterms:created>
  <dc:creator>Arsonneau Florence</dc:creator>
  <dc:description/>
  <dc:language>fr-FR</dc:language>
  <cp:lastModifiedBy/>
  <cp:lastPrinted>2018-02-26T11:14:00Z</cp:lastPrinted>
  <dcterms:modified xsi:type="dcterms:W3CDTF">2020-04-02T17:03:42Z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