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80"/>
      </w:pPr>
      <w:r>
        <w:t/>
      </w:r>
    </w:p>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spacing w:before="0" w:after="40"/>
              <w:jc w:val="center"/>
            </w:pPr>
            <w:r>
              <w:rPr>
                <w:b/>
                <w:color w:val="C6A970"/>
                <w:sz w:val="44"/>
                <w:szCs w:val="44"/>
              </w:rPr>
              <w:t>POYBOT</w:t>
            </w:r>
          </w:p>
          <w:p>
            <w:pPr>
              <w:spacing w:before="0" w:after="80"/>
              <w:jc w:val="center"/>
            </w:pPr>
            <w:r>
              <w:rPr>
                <w:b/>
                <w:color w:val="F8FAFC"/>
                <w:sz w:val="34"/>
                <w:szCs w:val="34"/>
              </w:rPr>
              <w:t>Poybot — Spécification Technique v1.0</w:t>
            </w:r>
          </w:p>
          <w:p>
            <w:pPr>
              <w:jc w:val="center"/>
            </w:pPr>
            <w:r>
              <w:rPr>
                <w:color w:val="CBD5E1"/>
                <w:sz w:val="22"/>
                <w:szCs w:val="22"/>
              </w:rPr>
              <w:t>Bot Polymarket orienté latency arbitrage et orchestration multi-stratégies</w:t>
            </w:r>
          </w:p>
        </w:tc>
      </w:tr>
    </w:tbl>
    <w:p>
      <w:pPr>
        <w:spacing w:before="0" w:after="80"/>
      </w:pPr>
      <w:r>
        <w:t/>
      </w:r>
    </w:p>
    <w:p>
      <w:pPr>
        <w:pStyle w:val="Subtitle"/>
      </w:pPr>
      <w:r>
        <w:rPr>
          <w:i/>
          <w:color w:val="475569"/>
        </w:rPr>
        <w:t>Document de référence architecture / trading / exploitation</w:t>
      </w:r>
    </w:p>
    <w:p>
      <w:pPr>
        <w:spacing w:before="0" w:after="80"/>
      </w:pPr>
      <w:r>
        <w:t/>
      </w:r>
    </w:p>
    <w:tbl>
      <w:tblPr>
        <w:tblW w:w="9026" w:type="dxa"/>
        <w:tblLayout w:type="fixed"/>
      </w:tblPr>
      <w:tblGrid>
        <w:gridCol w:w="2500"/>
        <w:gridCol w:w="6526"/>
      </w:tblGrid>
      <w:tr>
        <w:tc>
          <w:tcPr>
            <w:tcW w:w="2500" w:type="dxa"/>
            <w:tcBorders>
              <w:top w:val="single" w:sz="6" w:color="E2E8F0"/>
              <w:left w:val="single" w:sz="6" w:color="E2E8F0"/>
              <w:bottom w:val="single" w:sz="6" w:color="E2E8F0"/>
              <w:right w:val="single" w:sz="6" w:color="E2E8F0"/>
            </w:tcBorders>
            <w:shd w:val="clear" w:fill="334155"/>
            <w:tcMar>
              <w:top w:w="90" w:type="dxa"/>
              <w:left w:w="120" w:type="dxa"/>
              <w:bottom w:w="90" w:type="dxa"/>
              <w:right w:w="120" w:type="dxa"/>
            </w:tcMar>
            <w:vAlign w:val="center"/>
          </w:tcPr>
          <w:p>
            <w:pPr>
              <w:jc w:val="center"/>
            </w:pPr>
            <w:r>
              <w:rPr>
                <w:b/>
                <w:color w:val="F8FAFC"/>
              </w:rPr>
              <w:t>Champ</w:t>
            </w:r>
          </w:p>
        </w:tc>
        <w:tc>
          <w:tcPr>
            <w:tcW w:w="6526" w:type="dxa"/>
            <w:tcBorders>
              <w:top w:val="single" w:sz="6" w:color="E2E8F0"/>
              <w:left w:val="single" w:sz="6" w:color="E2E8F0"/>
              <w:bottom w:val="single" w:sz="6" w:color="E2E8F0"/>
              <w:right w:val="single" w:sz="6" w:color="E2E8F0"/>
            </w:tcBorders>
            <w:shd w:val="clear" w:fill="334155"/>
            <w:tcMar>
              <w:top w:w="90" w:type="dxa"/>
              <w:left w:w="120" w:type="dxa"/>
              <w:bottom w:w="90" w:type="dxa"/>
              <w:right w:w="120" w:type="dxa"/>
            </w:tcMar>
            <w:vAlign w:val="center"/>
          </w:tcPr>
          <w:p>
            <w:pPr>
              <w:jc w:val="center"/>
            </w:pPr>
            <w:r>
              <w:rPr>
                <w:b/>
                <w:color w:val="F8FAFC"/>
              </w:rPr>
              <w:t>Valeur</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Date</w:t>
            </w:r>
          </w:p>
        </w:tc>
        <w:tc>
          <w:tcPr>
            <w:tcW w:w="65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23/03/2026</w:t>
            </w:r>
          </w:p>
        </w:tc>
      </w:tr>
      <w:tr>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Auteur</w:t>
            </w:r>
          </w:p>
        </w:tc>
        <w:tc>
          <w:tcPr>
            <w:tcW w:w="65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Codex</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Version</w:t>
            </w:r>
          </w:p>
        </w:tc>
        <w:tc>
          <w:tcPr>
            <w:tcW w:w="65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v1.0</w:t>
            </w:r>
          </w:p>
        </w:tc>
      </w:tr>
      <w:tr>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Statut</w:t>
            </w:r>
          </w:p>
        </w:tc>
        <w:tc>
          <w:tcPr>
            <w:tcW w:w="65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Draft</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Base d’analyse</w:t>
            </w:r>
          </w:p>
        </w:tc>
        <w:tc>
          <w:tcPr>
            <w:tcW w:w="65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Dépôt Poybot + configuration runtime + audit réseau + contrats WebSocket officiels</w:t>
            </w:r>
          </w:p>
        </w:tc>
      </w:tr>
    </w:tbl>
    <w:p>
      <w:pPr>
        <w:spacing w:before="0" w:after="80"/>
      </w:pPr>
      <w:r>
        <w:t/>
      </w:r>
    </w:p>
    <w:p>
      <w:pPr>
        <w:pBdr>
          <w:bottom w:val="single" w:sz="10" w:space="4" w:color="C6A970"/>
        </w:pBdr>
        <w:spacing w:before="0" w:after="180"/>
      </w:pPr>
      <w:r>
        <w:t>Portée</w:t>
      </w:r>
      <w:r>
        <w:t xml:space="preserve"> : </w:t>
      </w:r>
      <w:r>
        <w:t>ce document décrit l’architecture actuelle du dépôt et l’architecture cible courte échéance. Les modules non branchés au runtime principal sont identifiés explicitement.</w:t>
      </w:r>
    </w:p>
    <w:p>
      <w:pPr>
        <w:pageBreakBefore/>
      </w:pPr>
      <w:r>
        <w:t/>
      </w:r>
    </w:p>
    <w:p>
      <w:pPr>
        <w:pStyle w:val="TOCHeading"/>
      </w:pPr>
      <w:r>
        <w:t>Table des matières</w:t>
      </w:r>
    </w:p>
    <w:p>
      <w:pPr>
        <w:spacing w:before="0" w:after="180"/>
      </w:pPr>
      <w:r>
        <w:fldChar w:fldCharType="begin"/>
      </w:r>
      <w:r>
        <w:instrText xml:space="preserve"> TOC \o "1-3" \h \z \u </w:instrText>
      </w:r>
      <w:r>
        <w:fldChar w:fldCharType="separate"/>
      </w:r>
      <w:r>
        <w:rPr>
          <w:i/>
          <w:color w:val="475569"/>
        </w:rPr>
        <w:t>La table des matières se mettra à jour à l’ouverture dans Word si nécessaire.</w:t>
      </w:r>
      <w:r>
        <w:fldChar w:fldCharType="end"/>
      </w:r>
    </w:p>
    <w:p>
      <w:pPr>
        <w:pStyle w:val="Heading1"/>
        <w:keepNext/>
        <w:pageBreakBefore/>
        <w:spacing w:before="240" w:after="120"/>
      </w:pPr>
      <w:r>
        <w:t>1. Vue d'ensemble</w:t>
      </w:r>
    </w:p>
    <w:p>
      <w:r>
        <w:t>Poybot est une plateforme de market-intelligence et d’exécution Polymarket conçue pour capter des dislocations de prix très courtes sur des marchés binaires. Le cœur du système combine une acquisition temps réel des quotes, une couche de signal, des garde-fous de risque, un pont d’exécution et un tableau de bord Next.js consommant un état live centralisé.</w:t>
      </w:r>
    </w:p>
    <w:p>
      <w:r>
        <w:t>L’objectif produit est le latency arbitrage crypto sur Polymarket: comparer un prix binaire YES/NO ou sa probabilité implicite avec un oracle spot plus rapide, puis déclencher un ordre uniquement si l’avantage net dépasse les coûts, la staleness, la cohérence YES+NO et les plafonds de portefeuille.</w:t>
      </w:r>
    </w:p>
    <w:tbl>
      <w:tblPr>
        <w:tblW w:w="9026" w:type="dxa"/>
        <w:tblLayout w:type="fixed"/>
      </w:tblPr>
      <w:tblGrid>
        <w:gridCol w:w="1500"/>
        <w:gridCol w:w="2300"/>
        <w:gridCol w:w="5226"/>
      </w:tblGrid>
      <w:tr>
        <w:tc>
          <w:tcPr>
            <w:tcW w:w="15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Bloc</w:t>
            </w:r>
          </w:p>
        </w:tc>
        <w:tc>
          <w:tcPr>
            <w:tcW w:w="23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Technologie</w:t>
            </w:r>
          </w:p>
        </w:tc>
        <w:tc>
          <w:tcPr>
            <w:tcW w:w="52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Rôle opérationnel</w:t>
            </w:r>
          </w:p>
        </w:tc>
      </w:tr>
      <w:tr>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API / runtime</w:t>
            </w:r>
          </w:p>
        </w:tc>
        <w:tc>
          <w:tcPr>
            <w:tcW w:w="23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FastAPI + Uvicorn</w:t>
            </w:r>
          </w:p>
        </w:tc>
        <w:tc>
          <w:tcPr>
            <w:tcW w:w="52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Exposition REST, WebSocket `/ws/live`, orchestration du `LiveHub` et tick loop à 250 ms.</w:t>
            </w:r>
          </w:p>
        </w:tc>
      </w:tr>
      <w:tr>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Persistance</w:t>
            </w:r>
          </w:p>
        </w:tc>
        <w:tc>
          <w:tcPr>
            <w:tcW w:w="23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PostgreSQL + SQLAlchemy + Alembic</w:t>
            </w:r>
          </w:p>
        </w:tc>
        <w:tc>
          <w:tcPr>
            <w:tcW w:w="52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Stockage des métadonnées Gamma, order books, trades, snapshots portefeuille et statuts de jobs.</w:t>
            </w:r>
          </w:p>
        </w:tc>
      </w:tr>
      <w:tr>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Queue / scheduling</w:t>
            </w:r>
          </w:p>
        </w:tc>
        <w:tc>
          <w:tcPr>
            <w:tcW w:w="23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Redis + ARQ</w:t>
            </w:r>
          </w:p>
        </w:tc>
        <w:tc>
          <w:tcPr>
            <w:tcW w:w="52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Exécution des crons de sync métadonnées et backfill trades récents.</w:t>
            </w:r>
          </w:p>
        </w:tc>
      </w:tr>
      <w:tr>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Cache live</w:t>
            </w:r>
          </w:p>
        </w:tc>
        <w:tc>
          <w:tcPr>
            <w:tcW w:w="23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PriceStateCache en mémoire</w:t>
            </w:r>
          </w:p>
        </w:tc>
        <w:tc>
          <w:tcPr>
            <w:tcW w:w="52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Accélération lecture top-of-book pour le runtime et réduction de latence applicative.</w:t>
            </w:r>
          </w:p>
        </w:tc>
      </w:tr>
      <w:tr>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Frontend</w:t>
            </w:r>
          </w:p>
        </w:tc>
        <w:tc>
          <w:tcPr>
            <w:tcW w:w="23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Next.js 15 + React 18 + Zustand</w:t>
            </w:r>
          </w:p>
        </w:tc>
        <w:tc>
          <w:tcPr>
            <w:tcW w:w="52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Dashboard live, commandes bot, visualisation marchés, PnL et historique trades.</w:t>
            </w:r>
          </w:p>
        </w:tc>
      </w:tr>
      <w:tr>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Infra locale</w:t>
            </w:r>
          </w:p>
        </w:tc>
        <w:tc>
          <w:tcPr>
            <w:tcW w:w="23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Docker Compose</w:t>
            </w:r>
          </w:p>
        </w:tc>
        <w:tc>
          <w:tcPr>
            <w:tcW w:w="52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Assemblage `api`, `worker`, `frontend`, `postgres`, `redis`, `clickhouse`.</w:t>
            </w:r>
          </w:p>
        </w:tc>
      </w:tr>
    </w:tbl>
    <w:tbl>
      <w:tblPr>
        <w:tblW w:w="9026" w:type="dxa"/>
        <w:tblLayout w:type="fixed"/>
      </w:tblPr>
      <w:tblGrid>
        <w:gridCol w:w="1400"/>
        <w:gridCol w:w="3600"/>
        <w:gridCol w:w="4026"/>
      </w:tblGrid>
      <w:tr>
        <w:tc>
          <w:tcPr>
            <w:tcW w:w="14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Mode</w:t>
            </w:r>
          </w:p>
        </w:tc>
        <w:tc>
          <w:tcPr>
            <w:tcW w:w="36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Comportement</w:t>
            </w:r>
          </w:p>
        </w:tc>
        <w:tc>
          <w:tcPr>
            <w:tcW w:w="40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Usage recommandé</w:t>
            </w:r>
          </w:p>
        </w:tc>
      </w:tr>
      <w:tr>
        <w:tc>
          <w:tcPr>
            <w:tcW w:w="1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`dry_run`</w:t>
            </w:r>
          </w:p>
        </w:tc>
        <w:tc>
          <w:tcPr>
            <w:tcW w:w="3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Aucun ordre réel; `TradeExecutor` renvoie un `order_id` simulé et un statut `SIMULATED`.</w:t>
            </w:r>
          </w:p>
        </w:tc>
        <w:tc>
          <w:tcPr>
            <w:tcW w:w="40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Validation end-to-end, UI, tests d’intégration, calibration signaux.</w:t>
            </w:r>
          </w:p>
        </w:tc>
      </w:tr>
      <w:tr>
        <w:tc>
          <w:tcPr>
            <w:tcW w:w="14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`live`</w:t>
            </w:r>
          </w:p>
        </w:tc>
        <w:tc>
          <w:tcPr>
            <w:tcW w:w="3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Envoi d’ordres vers l’endpoint CLOB configuré si `polymarket_trading_enabled=true` et credentials présents.</w:t>
            </w:r>
          </w:p>
        </w:tc>
        <w:tc>
          <w:tcPr>
            <w:tcW w:w="40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Uniquement après hardening sécurité, monitoring et contrôles de risque validés.</w:t>
            </w:r>
          </w:p>
        </w:tc>
      </w:tr>
    </w:tbl>
    <w:p>
      <w:r>
        <w:t>Le runtime actuel utilise majoritairement la stratégie adaptative branchée dans `LiveHub`. Les moteurs `LatencyArbEngine` et `SpreadArbScanner` sont présents, testés unitairement, mais non encore injectés dans la boucle de décision principale.</w:t>
      </w:r>
    </w:p>
    <w:p>
      <w:pPr>
        <w:pStyle w:val="Heading1"/>
        <w:keepNext/>
        <w:pageBreakBefore/>
        <w:spacing w:before="240" w:after="120"/>
      </w:pPr>
      <w:r>
        <w:t>2. Architecture système</w:t>
      </w:r>
    </w:p>
    <w:p>
      <w:r>
        <w:t>Le système suit une architecture en pipeline avec un point de vérité opérationnel: `backend/app/live/state.py`. Ce module agrège le cache prix, la stratégie active, le risk guard, l’exécuteur et la diffusion WebSocket vers le frontend.</w:t>
      </w:r>
    </w:p>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B1220"/>
            <w:tcMar>
              <w:top w:w="90" w:type="dxa"/>
              <w:left w:w="120" w:type="dxa"/>
              <w:bottom w:w="90" w:type="dxa"/>
              <w:right w:w="120" w:type="dxa"/>
            </w:tcMar>
            <w:vAlign w:val="center"/>
          </w:tcPr>
          <w:p>
            <w:pPr>
              <w:pStyle w:val="CodeBlock"/>
            </w:pPr>
            <w:r>
              <w:rPr>
                <w:color w:val="E2E8F0"/>
                <w:sz w:val="19"/>
                <w:szCs w:val="19"/>
                <w:rFonts w:ascii="Consolas" w:hAnsi="Consolas" w:eastAsia="Consolas" w:cs="Consolas"/>
              </w:rPr>
              <w:t>[Binance Spot WS - cible oracle rapide] ----+</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[Polymarket Gamma REST] ----&gt; [Universe Builder / Market Sync] ----+</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[Polymarket CLOB WS / REST] --&gt; [Ingestion persistante + PriceStateCache] --&gt; [LiveHub]</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 xml:space="preserve">                                                                                  v</w:t>
            </w:r>
          </w:p>
          <w:p>
            <w:pPr>
              <w:pStyle w:val="CodeBlock"/>
            </w:pPr>
            <w:r>
              <w:rPr>
                <w:color w:val="E2E8F0"/>
                <w:sz w:val="19"/>
                <w:szCs w:val="19"/>
                <w:rFonts w:ascii="Consolas" w:hAnsi="Consolas" w:eastAsia="Consolas" w:cs="Consolas"/>
              </w:rPr>
              <w:t xml:space="preserve">        +------------------- Signal Layer -------------------+          +----------------------+</w:t>
            </w:r>
          </w:p>
          <w:p>
            <w:pPr>
              <w:pStyle w:val="CodeBlock"/>
            </w:pPr>
            <w:r>
              <w:rPr>
                <w:color w:val="E2E8F0"/>
                <w:sz w:val="19"/>
                <w:szCs w:val="19"/>
                <w:rFonts w:ascii="Consolas" w:hAnsi="Consolas" w:eastAsia="Consolas" w:cs="Consolas"/>
              </w:rPr>
              <w:t xml:space="preserve">        | AdaptiveStrategyEngine (actif runtime)            |          | RiskGuard            |</w:t>
            </w:r>
          </w:p>
          <w:p>
            <w:pPr>
              <w:pStyle w:val="CodeBlock"/>
            </w:pPr>
            <w:r>
              <w:rPr>
                <w:color w:val="E2E8F0"/>
                <w:sz w:val="19"/>
                <w:szCs w:val="19"/>
                <w:rFonts w:ascii="Consolas" w:hAnsi="Consolas" w:eastAsia="Consolas" w:cs="Consolas"/>
              </w:rPr>
              <w:t xml:space="preserve">        | LatencyArbEngine (module prêt, non branché)       | -------&gt; | Drawdown/API halt    |</w:t>
            </w:r>
          </w:p>
          <w:p>
            <w:pPr>
              <w:pStyle w:val="CodeBlock"/>
            </w:pPr>
            <w:r>
              <w:rPr>
                <w:color w:val="E2E8F0"/>
                <w:sz w:val="19"/>
                <w:szCs w:val="19"/>
                <w:rFonts w:ascii="Consolas" w:hAnsi="Consolas" w:eastAsia="Consolas" w:cs="Consolas"/>
              </w:rPr>
              <w:t xml:space="preserve">        | SpreadArbScanner (module prêt, non branché)       |          | Exposure / cooldown  |</w:t>
            </w:r>
          </w:p>
          <w:p>
            <w:pPr>
              <w:pStyle w:val="CodeBlock"/>
            </w:pPr>
            <w:r>
              <w:rPr>
                <w:color w:val="E2E8F0"/>
                <w:sz w:val="19"/>
                <w:szCs w:val="19"/>
                <w:rFonts w:ascii="Consolas" w:hAnsi="Consolas" w:eastAsia="Consolas" w:cs="Consolas"/>
              </w:rPr>
              <w:t xml:space="preserve">        +---------------------------------------------------+          +----------+-----------+</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 xml:space="preserve">                                                                                  v</w:t>
            </w:r>
          </w:p>
          <w:p>
            <w:pPr>
              <w:pStyle w:val="CodeBlock"/>
            </w:pPr>
            <w:r>
              <w:rPr>
                <w:color w:val="E2E8F0"/>
                <w:sz w:val="19"/>
                <w:szCs w:val="19"/>
                <w:rFonts w:ascii="Consolas" w:hAnsi="Consolas" w:eastAsia="Consolas" w:cs="Consolas"/>
              </w:rPr>
              <w:t xml:space="preserve">                                                                      [TradeExecutor]</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 xml:space="preserve">                                                                                  v</w:t>
            </w:r>
          </w:p>
          <w:p>
            <w:pPr>
              <w:pStyle w:val="CodeBlock"/>
            </w:pPr>
            <w:r>
              <w:rPr>
                <w:color w:val="E2E8F0"/>
                <w:sz w:val="19"/>
                <w:szCs w:val="19"/>
                <w:rFonts w:ascii="Consolas" w:hAnsi="Consolas" w:eastAsia="Consolas" w:cs="Consolas"/>
              </w:rPr>
              <w:t xml:space="preserve">                                                              Dry-run simulator / CLOB live order</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 xml:space="preserve">                                                                                  v</w:t>
            </w:r>
          </w:p>
          <w:p>
            <w:pPr>
              <w:pStyle w:val="CodeBlock"/>
            </w:pPr>
            <w:r>
              <w:rPr>
                <w:color w:val="E2E8F0"/>
                <w:sz w:val="19"/>
                <w:szCs w:val="19"/>
                <w:rFonts w:ascii="Consolas" w:hAnsi="Consolas" w:eastAsia="Consolas" w:cs="Consolas"/>
              </w:rPr>
              <w:t xml:space="preserve">                                             REST `/api/v1/live-summary` + WS `/ws/live` + Next.js dashboard</w:t>
            </w:r>
          </w:p>
        </w:tc>
      </w:tr>
    </w:tbl>
    <w:tbl>
      <w:tblPr>
        <w:tblW w:w="9026" w:type="dxa"/>
        <w:tblLayout w:type="fixed"/>
      </w:tblPr>
      <w:tblGrid>
        <w:gridCol w:w="1200"/>
        <w:gridCol w:w="2800"/>
        <w:gridCol w:w="1600"/>
        <w:gridCol w:w="3426"/>
      </w:tblGrid>
      <w:tr>
        <w:tc>
          <w:tcPr>
            <w:tcW w:w="12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Couche</w:t>
            </w:r>
          </w:p>
        </w:tc>
        <w:tc>
          <w:tcPr>
            <w:tcW w:w="28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Modules principaux</w:t>
            </w:r>
          </w:p>
        </w:tc>
        <w:tc>
          <w:tcPr>
            <w:tcW w:w="16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Entrées</w:t>
            </w:r>
          </w:p>
        </w:tc>
        <w:tc>
          <w:tcPr>
            <w:tcW w:w="34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Sorties / contrat</w:t>
            </w:r>
          </w:p>
        </w:tc>
      </w:tr>
      <w:tr>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 Ingestion</w:t>
            </w:r>
          </w:p>
        </w:tc>
        <w:tc>
          <w:tcPr>
            <w:tcW w:w="2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`GammaClient`, `ClobClient`, `PolymarketWsIngestor`, `PriceStateCache`, `UniverseBuilder`</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REST Gamma, REST CLOB, WS CLOB</w:t>
            </w:r>
          </w:p>
        </w:tc>
        <w:tc>
          <w:tcPr>
            <w:tcW w:w="34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Univers marchés, top-of-book persisté, cache live, messages bruts.</w:t>
            </w:r>
          </w:p>
        </w:tc>
      </w:tr>
      <w:tr>
        <w:tc>
          <w:tcPr>
            <w:tcW w:w="1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2. Signal</w:t>
            </w:r>
          </w:p>
        </w:tc>
        <w:tc>
          <w:tcPr>
            <w:tcW w:w="28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`AdaptiveStrategyEngine`, `LatencyArbEngine`, `SpreadArbScanner`</w:t>
            </w:r>
          </w:p>
        </w:tc>
        <w:tc>
          <w:tcPr>
            <w:tcW w:w="1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Quotes YES/NO, spot oracle, historique court</w:t>
            </w:r>
          </w:p>
        </w:tc>
        <w:tc>
          <w:tcPr>
            <w:tcW w:w="34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Edge attendu, direction, seuil d’entrée, confiance.</w:t>
            </w:r>
          </w:p>
        </w:tc>
      </w:tr>
      <w:tr>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3. Risk</w:t>
            </w:r>
          </w:p>
        </w:tc>
        <w:tc>
          <w:tcPr>
            <w:tcW w:w="2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`RiskConfig`, `RiskGuard`, classification de régime</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Portfolio, edge, erreurs API, drawdown</w:t>
            </w:r>
          </w:p>
        </w:tc>
        <w:tc>
          <w:tcPr>
            <w:tcW w:w="34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Notional autorisé, kill switches, stop broadcast.</w:t>
            </w:r>
          </w:p>
        </w:tc>
      </w:tr>
      <w:tr>
        <w:tc>
          <w:tcPr>
            <w:tcW w:w="1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4. Execution</w:t>
            </w:r>
          </w:p>
        </w:tc>
        <w:tc>
          <w:tcPr>
            <w:tcW w:w="28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`TradeExecutor`, routes live</w:t>
            </w:r>
          </w:p>
        </w:tc>
        <w:tc>
          <w:tcPr>
            <w:tcW w:w="1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Signal qualifié + ordre logique</w:t>
            </w:r>
          </w:p>
        </w:tc>
        <w:tc>
          <w:tcPr>
            <w:tcW w:w="34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Dry-run simulé ou ordre CLOB réel, état trade.</w:t>
            </w:r>
          </w:p>
        </w:tc>
      </w:tr>
      <w:tr>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5. Analytics</w:t>
            </w:r>
          </w:p>
        </w:tc>
        <w:tc>
          <w:tcPr>
            <w:tcW w:w="2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`LiveHub.snapshot()`, `/portfolio/pnl-by-timeframe`, dashboard</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Trades, historique, stats, snapshots</w:t>
            </w:r>
          </w:p>
        </w:tc>
        <w:tc>
          <w:tcPr>
            <w:tcW w:w="34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KPIs, série PnL, visualisation live, monitoring opérateur.</w:t>
            </w:r>
          </w:p>
        </w:tc>
      </w:tr>
    </w:tbl>
    <w:tbl>
      <w:tblPr>
        <w:tblW w:w="9026" w:type="dxa"/>
        <w:tblLayout w:type="fixed"/>
      </w:tblPr>
      <w:tblGrid>
        <w:gridCol w:w="2100"/>
        <w:gridCol w:w="6926"/>
      </w:tblGrid>
      <w:tr>
        <w:tc>
          <w:tcPr>
            <w:tcW w:w="21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Interdépendance</w:t>
            </w:r>
          </w:p>
        </w:tc>
        <w:tc>
          <w:tcPr>
            <w:tcW w:w="69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Description</w:t>
            </w:r>
          </w:p>
        </w:tc>
      </w:tr>
      <w:tr>
        <w:tc>
          <w:tcPr>
            <w:tcW w:w="2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Ingestion -&gt; Signal</w:t>
            </w:r>
          </w:p>
        </w:tc>
        <w:tc>
          <w:tcPr>
            <w:tcW w:w="6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Le signal ne lit pas directement le réseau; il consomme des quotes normalisées et datées, idéalement issues du `PriceStateCache`.</w:t>
            </w:r>
          </w:p>
        </w:tc>
      </w:tr>
      <w:tr>
        <w:tc>
          <w:tcPr>
            <w:tcW w:w="2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Signal -&gt; Risk</w:t>
            </w:r>
          </w:p>
        </w:tc>
        <w:tc>
          <w:tcPr>
            <w:tcW w:w="69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Aucun ordre n’est possible sans sizing `size_position()` puis validation `RiskGuard` drawdown/API.</w:t>
            </w:r>
          </w:p>
        </w:tc>
      </w:tr>
      <w:tr>
        <w:tc>
          <w:tcPr>
            <w:tcW w:w="2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Risk -&gt; Execution</w:t>
            </w:r>
          </w:p>
        </w:tc>
        <w:tc>
          <w:tcPr>
            <w:tcW w:w="6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Le halt drawdown/API coupe le bot, annule les ordres ouverts et émet un message `halt` consommable côté UI.</w:t>
            </w:r>
          </w:p>
        </w:tc>
      </w:tr>
      <w:tr>
        <w:tc>
          <w:tcPr>
            <w:tcW w:w="2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Execution -&gt; Analytics</w:t>
            </w:r>
          </w:p>
        </w:tc>
        <w:tc>
          <w:tcPr>
            <w:tcW w:w="69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Chaque trade enrichit le snapshot live, la table `recent_trades`, le PnL cumulé et l’historique portefeuille.</w:t>
            </w:r>
          </w:p>
        </w:tc>
      </w:tr>
      <w:tr>
        <w:tc>
          <w:tcPr>
            <w:tcW w:w="2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Analytics -&gt; Frontend</w:t>
            </w:r>
          </w:p>
        </w:tc>
        <w:tc>
          <w:tcPr>
            <w:tcW w:w="6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Le frontend bootstrap via `/api/v1/live-summary` puis passe en mode streaming via `/ws/live`.</w:t>
            </w:r>
          </w:p>
        </w:tc>
      </w:tr>
    </w:tbl>
    <w:p>
      <w:r>
        <w:t>Deux chemins d’ingestion coexistent actuellement: un chemin persistant (`PolymarketWsIngestor`) qui écrit `TopOfBook` et un chemin runtime (`LiveHub._listen_to_clob`) qui maintient l’état opérateur. Cette dualité explique une partie du drift actuel et justifie une convergence future vers un contrat unique.</w:t>
      </w:r>
    </w:p>
    <w:p>
      <w:pPr>
        <w:pStyle w:val="Heading1"/>
        <w:keepNext/>
        <w:pageBreakBefore/>
        <w:spacing w:before="240" w:after="120"/>
      </w:pPr>
      <w:r>
        <w:t>3. Stratégies de trading</w:t>
      </w:r>
    </w:p>
    <w:tbl>
      <w:tblPr>
        <w:tblW w:w="9026" w:type="dxa"/>
        <w:tblLayout w:type="fixed"/>
      </w:tblPr>
      <w:tblGrid>
        <w:gridCol w:w="1800"/>
        <w:gridCol w:w="2500"/>
        <w:gridCol w:w="4726"/>
      </w:tblGrid>
      <w:tr>
        <w:tc>
          <w:tcPr>
            <w:tcW w:w="18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Stratégie</w:t>
            </w:r>
          </w:p>
        </w:tc>
        <w:tc>
          <w:tcPr>
            <w:tcW w:w="25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Statut d’implémentation</w:t>
            </w:r>
          </w:p>
        </w:tc>
        <w:tc>
          <w:tcPr>
            <w:tcW w:w="47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Finalité</w:t>
            </w:r>
          </w:p>
        </w:tc>
      </w:tr>
      <w:tr>
        <w:tc>
          <w:tcPr>
            <w:tcW w:w="1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Latency Arbitrage</w:t>
            </w:r>
          </w:p>
        </w:tc>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Module backend présent, tests unitaires, non branché au `LiveHub`</w:t>
            </w:r>
          </w:p>
        </w:tc>
        <w:tc>
          <w:tcPr>
            <w:tcW w:w="47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Détecter un retard de repricing Polymarket par rapport à un spot crypto rapide.</w:t>
            </w:r>
          </w:p>
        </w:tc>
      </w:tr>
      <w:tr>
        <w:tc>
          <w:tcPr>
            <w:tcW w:w="18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Spread Arbitrage</w:t>
            </w:r>
          </w:p>
        </w:tc>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Scanner présent, tests unitaires, non branché au `LiveHub`</w:t>
            </w:r>
          </w:p>
        </w:tc>
        <w:tc>
          <w:tcPr>
            <w:tcW w:w="47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Capturer les dislocations `YES + NO &lt; 1.0` après frais.</w:t>
            </w:r>
          </w:p>
        </w:tc>
      </w:tr>
      <w:tr>
        <w:tc>
          <w:tcPr>
            <w:tcW w:w="1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Adaptive Strategy</w:t>
            </w:r>
          </w:p>
        </w:tc>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Actif dans le runtime principal</w:t>
            </w:r>
          </w:p>
        </w:tc>
        <w:tc>
          <w:tcPr>
            <w:tcW w:w="47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Suivre des micro-mouvements avec seuils dynamiques, régime de marché et sizing Kelly contraint.</w:t>
            </w:r>
          </w:p>
        </w:tc>
      </w:tr>
    </w:tbl>
    <w:p>
      <w:pPr>
        <w:pStyle w:val="Heading2"/>
        <w:keepNext/>
        <w:spacing w:before="120" w:after="120"/>
      </w:pPr>
      <w:r>
        <w:t>3.1 Latency Arbitrage</w:t>
      </w:r>
    </w:p>
    <w:p>
      <w:r>
        <w:t>Le moteur `LatencyArbEngine` vise les marchés de type strike/expiry (ex. “BTC above $105,000 by 3pm?”). Il extrait le strike depuis le titre, calcule le temps restant avant expiration, compare la probabilité “fair” dérivée du spot au mid Polymarket, puis déclenche `BUY_YES` ou `BUY_NO` si l’écart dépasse un plancher strict.</w:t>
      </w:r>
    </w:p>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B1220"/>
            <w:tcMar>
              <w:top w:w="90" w:type="dxa"/>
              <w:left w:w="120" w:type="dxa"/>
              <w:bottom w:w="90" w:type="dxa"/>
              <w:right w:w="120" w:type="dxa"/>
            </w:tcMar>
            <w:vAlign w:val="center"/>
          </w:tcPr>
          <w:p>
            <w:pPr>
              <w:pStyle w:val="CodeBlock"/>
            </w:pPr>
            <w:r>
              <w:rPr>
                <w:color w:val="E2E8F0"/>
                <w:sz w:val="19"/>
                <w:szCs w:val="19"/>
                <w:rFonts w:ascii="Consolas" w:hAnsi="Consolas" w:eastAsia="Consolas" w:cs="Consolas"/>
              </w:rPr>
              <w:t>T_d = time_to_expiry_h / 24</w:t>
            </w:r>
          </w:p>
          <w:p>
            <w:pPr>
              <w:pStyle w:val="CodeBlock"/>
            </w:pPr>
            <w:r>
              <w:rPr>
                <w:color w:val="E2E8F0"/>
                <w:sz w:val="19"/>
                <w:szCs w:val="19"/>
                <w:rFonts w:ascii="Consolas" w:hAnsi="Consolas" w:eastAsia="Consolas" w:cs="Consolas"/>
              </w:rPr>
              <w:t>sigma_T = vol_daily * sqrt(T_d)</w:t>
            </w:r>
          </w:p>
          <w:p>
            <w:pPr>
              <w:pStyle w:val="CodeBlock"/>
            </w:pPr>
            <w:r>
              <w:rPr>
                <w:color w:val="E2E8F0"/>
                <w:sz w:val="19"/>
                <w:szCs w:val="19"/>
                <w:rFonts w:ascii="Consolas" w:hAnsi="Consolas" w:eastAsia="Consolas" w:cs="Consolas"/>
              </w:rPr>
              <w:t>distance_pct = (spot_mid - strike) / strike</w:t>
            </w:r>
          </w:p>
          <w:p>
            <w:pPr>
              <w:pStyle w:val="CodeBlock"/>
            </w:pPr>
            <w:r>
              <w:rPr>
                <w:color w:val="E2E8F0"/>
                <w:sz w:val="19"/>
                <w:szCs w:val="19"/>
                <w:rFonts w:ascii="Consolas" w:hAnsi="Consolas" w:eastAsia="Consolas" w:cs="Consolas"/>
              </w:rPr>
              <w:t>z = distance_pct / sigma_T</w:t>
            </w:r>
          </w:p>
          <w:p>
            <w:pPr>
              <w:pStyle w:val="CodeBlock"/>
            </w:pPr>
            <w:r>
              <w:rPr>
                <w:color w:val="E2E8F0"/>
                <w:sz w:val="19"/>
                <w:szCs w:val="19"/>
                <w:rFonts w:ascii="Consolas" w:hAnsi="Consolas" w:eastAsia="Consolas" w:cs="Consolas"/>
              </w:rPr>
              <w:t>fair_prob = Phi(z)</w:t>
            </w:r>
          </w:p>
          <w:p>
            <w:pPr>
              <w:pStyle w:val="CodeBlock"/>
            </w:pPr>
            <w:r>
              <w:rPr>
                <w:color w:val="E2E8F0"/>
                <w:sz w:val="19"/>
                <w:szCs w:val="19"/>
                <w:rFonts w:ascii="Consolas" w:hAnsi="Consolas" w:eastAsia="Consolas" w:cs="Consolas"/>
              </w:rPr>
              <w:t>poly_mid = (best_bid + best_ask) / 2</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if fair_prob &gt; poly_mid:</w:t>
            </w:r>
          </w:p>
          <w:p>
            <w:pPr>
              <w:pStyle w:val="CodeBlock"/>
            </w:pPr>
            <w:r>
              <w:rPr>
                <w:color w:val="E2E8F0"/>
                <w:sz w:val="19"/>
                <w:szCs w:val="19"/>
                <w:rFonts w:ascii="Consolas" w:hAnsi="Consolas" w:eastAsia="Consolas" w:cs="Consolas"/>
              </w:rPr>
              <w:t xml:space="preserve">    direction = BUY_YES</w:t>
            </w:r>
          </w:p>
          <w:p>
            <w:pPr>
              <w:pStyle w:val="CodeBlock"/>
            </w:pPr>
            <w:r>
              <w:rPr>
                <w:color w:val="E2E8F0"/>
                <w:sz w:val="19"/>
                <w:szCs w:val="19"/>
                <w:rFonts w:ascii="Consolas" w:hAnsi="Consolas" w:eastAsia="Consolas" w:cs="Consolas"/>
              </w:rPr>
              <w:t xml:space="preserve">    edge = fair_prob - poly_mid</w:t>
            </w:r>
          </w:p>
          <w:p>
            <w:pPr>
              <w:pStyle w:val="CodeBlock"/>
            </w:pPr>
            <w:r>
              <w:rPr>
                <w:color w:val="E2E8F0"/>
                <w:sz w:val="19"/>
                <w:szCs w:val="19"/>
                <w:rFonts w:ascii="Consolas" w:hAnsi="Consolas" w:eastAsia="Consolas" w:cs="Consolas"/>
              </w:rPr>
              <w:t>else:</w:t>
            </w:r>
          </w:p>
          <w:p>
            <w:pPr>
              <w:pStyle w:val="CodeBlock"/>
            </w:pPr>
            <w:r>
              <w:rPr>
                <w:color w:val="E2E8F0"/>
                <w:sz w:val="19"/>
                <w:szCs w:val="19"/>
                <w:rFonts w:ascii="Consolas" w:hAnsi="Consolas" w:eastAsia="Consolas" w:cs="Consolas"/>
              </w:rPr>
              <w:t xml:space="preserve">    direction = BUY_NO</w:t>
            </w:r>
          </w:p>
          <w:p>
            <w:pPr>
              <w:pStyle w:val="CodeBlock"/>
            </w:pPr>
            <w:r>
              <w:rPr>
                <w:color w:val="E2E8F0"/>
                <w:sz w:val="19"/>
                <w:szCs w:val="19"/>
                <w:rFonts w:ascii="Consolas" w:hAnsi="Consolas" w:eastAsia="Consolas" w:cs="Consolas"/>
              </w:rPr>
              <w:t xml:space="preserve">    edge = poly_mid - fair_prob</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confidence =</w:t>
            </w:r>
          </w:p>
          <w:p>
            <w:pPr>
              <w:pStyle w:val="CodeBlock"/>
            </w:pPr>
            <w:r>
              <w:rPr>
                <w:color w:val="E2E8F0"/>
                <w:sz w:val="19"/>
                <w:szCs w:val="19"/>
                <w:rFonts w:ascii="Consolas" w:hAnsi="Consolas" w:eastAsia="Consolas" w:cs="Consolas"/>
              </w:rPr>
              <w:t xml:space="preserve">    min(1, edge / confidence_edge_scale)</w:t>
            </w:r>
          </w:p>
          <w:p>
            <w:pPr>
              <w:pStyle w:val="CodeBlock"/>
            </w:pPr>
            <w:r>
              <w:rPr>
                <w:color w:val="E2E8F0"/>
                <w:sz w:val="19"/>
                <w:szCs w:val="19"/>
                <w:rFonts w:ascii="Consolas" w:hAnsi="Consolas" w:eastAsia="Consolas" w:cs="Consolas"/>
              </w:rPr>
              <w:t xml:space="preserve">  * max(0, 1 - poly_spread / confidence_spread_scale)</w:t>
            </w:r>
          </w:p>
          <w:p>
            <w:pPr>
              <w:pStyle w:val="CodeBlock"/>
            </w:pPr>
            <w:r>
              <w:rPr>
                <w:color w:val="E2E8F0"/>
                <w:sz w:val="19"/>
                <w:szCs w:val="19"/>
                <w:rFonts w:ascii="Consolas" w:hAnsi="Consolas" w:eastAsia="Consolas" w:cs="Consolas"/>
              </w:rPr>
              <w:t xml:space="preserve">  * max(0, 1 - spot_age_ms / max_spot_age_ms)</w:t>
            </w:r>
          </w:p>
        </w:tc>
      </w:tr>
    </w:tbl>
    <w:tbl>
      <w:tblPr>
        <w:tblW w:w="9026" w:type="dxa"/>
        <w:tblLayout w:type="fixed"/>
      </w:tblPr>
      <w:tblGrid>
        <w:gridCol w:w="1800"/>
        <w:gridCol w:w="1200"/>
        <w:gridCol w:w="1700"/>
        <w:gridCol w:w="4326"/>
      </w:tblGrid>
      <w:tr>
        <w:tc>
          <w:tcPr>
            <w:tcW w:w="18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Paramètre</w:t>
            </w:r>
          </w:p>
        </w:tc>
        <w:tc>
          <w:tcPr>
            <w:tcW w:w="12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Défaut</w:t>
            </w:r>
          </w:p>
        </w:tc>
        <w:tc>
          <w:tcPr>
            <w:tcW w:w="17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Plage recommandée</w:t>
            </w:r>
          </w:p>
        </w:tc>
        <w:tc>
          <w:tcPr>
            <w:tcW w:w="43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Notes</w:t>
            </w:r>
          </w:p>
        </w:tc>
      </w:tr>
      <w:tr>
        <w:tc>
          <w:tcPr>
            <w:tcW w:w="1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`min_edge`</w:t>
            </w:r>
          </w:p>
        </w:tc>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0.04</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0.01 - 0.10</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Seuil minimal d’edge absolu avant déclenchement.</w:t>
            </w:r>
          </w:p>
        </w:tc>
      </w:tr>
      <w:tr>
        <w:tc>
          <w:tcPr>
            <w:tcW w:w="18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`min_time_to_expiry_h`</w:t>
            </w:r>
          </w:p>
        </w:tc>
        <w:tc>
          <w:tcPr>
            <w:tcW w:w="1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0.25 h</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0.10 - 1 h</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Évite les marchés trop proches de l’expiration.</w:t>
            </w:r>
          </w:p>
        </w:tc>
      </w:tr>
      <w:tr>
        <w:tc>
          <w:tcPr>
            <w:tcW w:w="1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`max_time_to_expiry_h`</w:t>
            </w:r>
          </w:p>
        </w:tc>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24 h</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6 - 48 h</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Reste sur un horizon court, cohérent avec le vol paramétrée.</w:t>
            </w:r>
          </w:p>
        </w:tc>
      </w:tr>
      <w:tr>
        <w:tc>
          <w:tcPr>
            <w:tcW w:w="18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`max_poly_spread`</w:t>
            </w:r>
          </w:p>
        </w:tc>
        <w:tc>
          <w:tcPr>
            <w:tcW w:w="1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0.06</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0.01 - 0.08</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Empêche d’acheter une inefficience mangée par le spread.</w:t>
            </w:r>
          </w:p>
        </w:tc>
      </w:tr>
      <w:tr>
        <w:tc>
          <w:tcPr>
            <w:tcW w:w="1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`max_spot_age_ms`</w:t>
            </w:r>
          </w:p>
        </w:tc>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500 ms</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100 - 1000 ms</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Exige un oracle spot très frais.</w:t>
            </w:r>
          </w:p>
        </w:tc>
      </w:tr>
      <w:tr>
        <w:tc>
          <w:tcPr>
            <w:tcW w:w="18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`vol_daily`</w:t>
            </w:r>
          </w:p>
        </w:tc>
        <w:tc>
          <w:tcPr>
            <w:tcW w:w="1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0.04</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0.02 - 0.10</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Volatilité quotidienne utilisée dans la formule log-normale simplifiée.</w:t>
            </w:r>
          </w:p>
        </w:tc>
      </w:tr>
      <w:tr>
        <w:tc>
          <w:tcPr>
            <w:tcW w:w="1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`spot_symbol`</w:t>
            </w:r>
          </w:p>
        </w:tc>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`BTCUSDT`</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Mapping spot / marché</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Le moteur suppose aujourd’hui un oracle spot unique.</w:t>
            </w:r>
          </w:p>
        </w:tc>
      </w:tr>
      <w:tr>
        <w:tc>
          <w:tcPr>
            <w:tcW w:w="18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`confidence_edge_scale`</w:t>
            </w:r>
          </w:p>
        </w:tc>
        <w:tc>
          <w:tcPr>
            <w:tcW w:w="1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0.10</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0.05 - 0.20</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Normalisation de l’edge dans la métrique de confiance.</w:t>
            </w:r>
          </w:p>
        </w:tc>
      </w:tr>
      <w:tr>
        <w:tc>
          <w:tcPr>
            <w:tcW w:w="18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`confidence_spread_scale`</w:t>
            </w:r>
          </w:p>
        </w:tc>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0.08</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0.03 - 0.10</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Pénalise les books Polymarket trop larges.</w:t>
            </w:r>
          </w:p>
        </w:tc>
      </w:tr>
    </w:tbl>
    <w:p>
      <w:r>
        <w:t>Critères de rejet implémentés: strike introuvable, marché expiré, âge spot trop élevé, spread Polymarket trop large, horizon hors fenêtre et edge inférieur au minimum. Cette stratégie est prête pour intégration mais nécessite une source spot WS dédiée.</w:t>
      </w:r>
    </w:p>
    <w:p>
      <w:pPr>
        <w:pStyle w:val="Heading2"/>
        <w:keepNext/>
        <w:spacing w:before="120" w:after="120"/>
      </w:pPr>
      <w:r>
        <w:t>3.2 Spread Arbitrage</w:t>
      </w:r>
    </w:p>
    <w:p>
      <w:r>
        <w:t>Le scanner `SpreadArbScanner` opère sur un marché binaire unique. Il compare l’ask YES et l’ask NO d’un même market, recherche un coût cumulé inférieur à 1.0, puis retire les frais aller-retour avant de classer les opportunités.</w:t>
      </w:r>
    </w:p>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B1220"/>
            <w:tcMar>
              <w:top w:w="90" w:type="dxa"/>
              <w:left w:w="120" w:type="dxa"/>
              <w:bottom w:w="90" w:type="dxa"/>
              <w:right w:w="120" w:type="dxa"/>
            </w:tcMar>
            <w:vAlign w:val="center"/>
          </w:tcPr>
          <w:p>
            <w:pPr>
              <w:pStyle w:val="CodeBlock"/>
            </w:pPr>
            <w:r>
              <w:rPr>
                <w:color w:val="E2E8F0"/>
                <w:sz w:val="19"/>
                <w:szCs w:val="19"/>
                <w:rFonts w:ascii="Consolas" w:hAnsi="Consolas" w:eastAsia="Consolas" w:cs="Consolas"/>
              </w:rPr>
              <w:t>combined_cost = ask_yes + ask_no</w:t>
            </w:r>
          </w:p>
          <w:p>
            <w:pPr>
              <w:pStyle w:val="CodeBlock"/>
            </w:pPr>
            <w:r>
              <w:rPr>
                <w:color w:val="E2E8F0"/>
                <w:sz w:val="19"/>
                <w:szCs w:val="19"/>
                <w:rFonts w:ascii="Consolas" w:hAnsi="Consolas" w:eastAsia="Consolas" w:cs="Consolas"/>
              </w:rPr>
              <w:t>gross_profit = 1.0 - combined_cost</w:t>
            </w:r>
          </w:p>
          <w:p>
            <w:pPr>
              <w:pStyle w:val="CodeBlock"/>
            </w:pPr>
            <w:r>
              <w:rPr>
                <w:color w:val="E2E8F0"/>
                <w:sz w:val="19"/>
                <w:szCs w:val="19"/>
                <w:rFonts w:ascii="Consolas" w:hAnsi="Consolas" w:eastAsia="Consolas" w:cs="Consolas"/>
              </w:rPr>
              <w:t>fees = combined_cost * (fee_bps / 10000) * 2</w:t>
            </w:r>
          </w:p>
          <w:p>
            <w:pPr>
              <w:pStyle w:val="CodeBlock"/>
            </w:pPr>
            <w:r>
              <w:rPr>
                <w:color w:val="E2E8F0"/>
                <w:sz w:val="19"/>
                <w:szCs w:val="19"/>
                <w:rFonts w:ascii="Consolas" w:hAnsi="Consolas" w:eastAsia="Consolas" w:cs="Consolas"/>
              </w:rPr>
              <w:t>net_profit = gross_profit - fees</w:t>
            </w:r>
          </w:p>
          <w:p>
            <w:pPr>
              <w:pStyle w:val="CodeBlock"/>
            </w:pPr>
            <w:r>
              <w:rPr>
                <w:color w:val="E2E8F0"/>
                <w:sz w:val="19"/>
                <w:szCs w:val="19"/>
                <w:rFonts w:ascii="Consolas" w:hAnsi="Consolas" w:eastAsia="Consolas" w:cs="Consolas"/>
              </w:rPr>
              <w:t>net_profit_pct = (net_profit / combined_cost) * 100</w:t>
            </w:r>
          </w:p>
          <w:p>
            <w:pPr>
              <w:pStyle w:val="CodeBlock"/>
            </w:pPr>
            <w:r>
              <w:rPr>
                <w:color w:val="E2E8F0"/>
                <w:sz w:val="19"/>
                <w:szCs w:val="19"/>
                <w:rFonts w:ascii="Consolas" w:hAnsi="Consolas" w:eastAsia="Consolas" w:cs="Consolas"/>
              </w:rPr>
              <w:t>max_size_usdc = min(liquidity_yes, liquidity_no)</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signal valid if:</w:t>
            </w:r>
          </w:p>
          <w:p>
            <w:pPr>
              <w:pStyle w:val="CodeBlock"/>
            </w:pPr>
            <w:r>
              <w:rPr>
                <w:color w:val="E2E8F0"/>
                <w:sz w:val="19"/>
                <w:szCs w:val="19"/>
                <w:rFonts w:ascii="Consolas" w:hAnsi="Consolas" w:eastAsia="Consolas" w:cs="Consolas"/>
              </w:rPr>
              <w:t xml:space="preserve">    combined_cost &lt; 1.0</w:t>
            </w:r>
          </w:p>
          <w:p>
            <w:pPr>
              <w:pStyle w:val="CodeBlock"/>
            </w:pPr>
            <w:r>
              <w:rPr>
                <w:color w:val="E2E8F0"/>
                <w:sz w:val="19"/>
                <w:szCs w:val="19"/>
                <w:rFonts w:ascii="Consolas" w:hAnsi="Consolas" w:eastAsia="Consolas" w:cs="Consolas"/>
              </w:rPr>
              <w:t xml:space="preserve">    net_profit &gt; MIN_NET_PROFIT</w:t>
            </w:r>
          </w:p>
          <w:p>
            <w:pPr>
              <w:pStyle w:val="CodeBlock"/>
            </w:pPr>
            <w:r>
              <w:rPr>
                <w:color w:val="E2E8F0"/>
                <w:sz w:val="19"/>
                <w:szCs w:val="19"/>
                <w:rFonts w:ascii="Consolas" w:hAnsi="Consolas" w:eastAsia="Consolas" w:cs="Consolas"/>
              </w:rPr>
              <w:t xml:space="preserve">    max_size_usdc &gt; 0</w:t>
            </w:r>
          </w:p>
        </w:tc>
      </w:tr>
    </w:tbl>
    <w:tbl>
      <w:tblPr>
        <w:tblW w:w="9026" w:type="dxa"/>
        <w:tblLayout w:type="fixed"/>
      </w:tblPr>
      <w:tblGrid>
        <w:gridCol w:w="2300"/>
        <w:gridCol w:w="1100"/>
        <w:gridCol w:w="1700"/>
        <w:gridCol w:w="3926"/>
      </w:tblGrid>
      <w:tr>
        <w:tc>
          <w:tcPr>
            <w:tcW w:w="23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Paramètre / contrainte</w:t>
            </w:r>
          </w:p>
        </w:tc>
        <w:tc>
          <w:tcPr>
            <w:tcW w:w="11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Défaut</w:t>
            </w:r>
          </w:p>
        </w:tc>
        <w:tc>
          <w:tcPr>
            <w:tcW w:w="17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Plage recommandée</w:t>
            </w:r>
          </w:p>
        </w:tc>
        <w:tc>
          <w:tcPr>
            <w:tcW w:w="39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Notes</w:t>
            </w:r>
          </w:p>
        </w:tc>
      </w:tr>
      <w:tr>
        <w:tc>
          <w:tcPr>
            <w:tcW w:w="23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`MIN_NET_PROFIT`</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0.002</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0.001 - 0.01</w:t>
            </w:r>
          </w:p>
        </w:tc>
        <w:tc>
          <w:tcPr>
            <w:tcW w:w="3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Profit net minimal par lot binaire après frais.</w:t>
            </w:r>
          </w:p>
        </w:tc>
      </w:tr>
      <w:tr>
        <w:tc>
          <w:tcPr>
            <w:tcW w:w="23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`fee_bps`</w:t>
            </w:r>
          </w:p>
        </w:tc>
        <w:tc>
          <w:tcPr>
            <w:tcW w:w="1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8 bps</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4 - 20 bps</w:t>
            </w:r>
          </w:p>
        </w:tc>
        <w:tc>
          <w:tcPr>
            <w:tcW w:w="39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Frais aller-retour calculés deux fois sur le coût cumulé.</w:t>
            </w:r>
          </w:p>
        </w:tc>
      </w:tr>
      <w:tr>
        <w:tc>
          <w:tcPr>
            <w:tcW w:w="23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`ask_yes`, `ask_no`</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N/A</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(0, 1)</w:t>
            </w:r>
          </w:p>
        </w:tc>
        <w:tc>
          <w:tcPr>
            <w:tcW w:w="3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Quotes top-of-book nécessaires sur les deux branches.</w:t>
            </w:r>
          </w:p>
        </w:tc>
      </w:tr>
      <w:tr>
        <w:tc>
          <w:tcPr>
            <w:tcW w:w="23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`combined_cost`</w:t>
            </w:r>
          </w:p>
        </w:tc>
        <w:tc>
          <w:tcPr>
            <w:tcW w:w="1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N/A</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&lt; 1.0</w:t>
            </w:r>
          </w:p>
        </w:tc>
        <w:tc>
          <w:tcPr>
            <w:tcW w:w="39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Condition d’existence d’un spread arb brut.</w:t>
            </w:r>
          </w:p>
        </w:tc>
      </w:tr>
      <w:tr>
        <w:tc>
          <w:tcPr>
            <w:tcW w:w="23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`max_size_usdc`</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N/A</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&gt; 0</w:t>
            </w:r>
          </w:p>
        </w:tc>
        <w:tc>
          <w:tcPr>
            <w:tcW w:w="3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Borné par la plus faible liquidité disponible.</w:t>
            </w:r>
          </w:p>
        </w:tc>
      </w:tr>
    </w:tbl>
    <w:p>
      <w:r>
        <w:t>Dans le jeu de tests fourni, un exemple `0.42 + 0.55 = 0.97` génère un profit brut de `0.03` et un profit net d’environ `0.028448`, soit `2.93%` du capital immobilisé. Le scanner trie ensuite les opportunités par `net_profit_pct` décroissant.</w:t>
      </w:r>
    </w:p>
    <w:p>
      <w:pPr>
        <w:pStyle w:val="Heading2"/>
        <w:keepNext/>
        <w:spacing w:before="120" w:after="120"/>
      </w:pPr>
      <w:r>
        <w:t>3.3 Adaptive Strategy</w:t>
      </w:r>
    </w:p>
    <w:p>
      <w:r>
        <w:t>La stratégie adaptative est la stratégie active. Elle traite chaque marché comme une courte série de mid-prices, mesure momentum, volatilité réalisée, coût de trading et qualité de liquidité, puis produit un edge attendu et un seuil d’entrée dynamique modulé par le régime de marché.</w:t>
      </w:r>
    </w:p>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B1220"/>
            <w:tcMar>
              <w:top w:w="90" w:type="dxa"/>
              <w:left w:w="120" w:type="dxa"/>
              <w:bottom w:w="90" w:type="dxa"/>
              <w:right w:w="120" w:type="dxa"/>
            </w:tcMar>
            <w:vAlign w:val="center"/>
          </w:tcPr>
          <w:p>
            <w:pPr>
              <w:pStyle w:val="CodeBlock"/>
            </w:pPr>
            <w:r>
              <w:rPr>
                <w:color w:val="E2E8F0"/>
                <w:sz w:val="19"/>
                <w:szCs w:val="19"/>
                <w:rFonts w:ascii="Consolas" w:hAnsi="Consolas" w:eastAsia="Consolas" w:cs="Consolas"/>
              </w:rPr>
              <w:t>spread = best_ask - best_bid</w:t>
            </w:r>
          </w:p>
          <w:p>
            <w:pPr>
              <w:pStyle w:val="CodeBlock"/>
            </w:pPr>
            <w:r>
              <w:rPr>
                <w:color w:val="E2E8F0"/>
                <w:sz w:val="19"/>
                <w:szCs w:val="19"/>
                <w:rFonts w:ascii="Consolas" w:hAnsi="Consolas" w:eastAsia="Consolas" w:cs="Consolas"/>
              </w:rPr>
              <w:t>mid = clip((best_bid + best_ask) / 2)</w:t>
            </w:r>
          </w:p>
          <w:p>
            <w:pPr>
              <w:pStyle w:val="CodeBlock"/>
            </w:pPr>
            <w:r>
              <w:rPr>
                <w:color w:val="E2E8F0"/>
                <w:sz w:val="19"/>
                <w:szCs w:val="19"/>
                <w:rFonts w:ascii="Consolas" w:hAnsi="Consolas" w:eastAsia="Consolas" w:cs="Consolas"/>
              </w:rPr>
              <w:t>momentum = mid_t - mid_0</w:t>
            </w:r>
          </w:p>
          <w:p>
            <w:pPr>
              <w:pStyle w:val="CodeBlock"/>
            </w:pPr>
            <w:r>
              <w:rPr>
                <w:color w:val="E2E8F0"/>
                <w:sz w:val="19"/>
                <w:szCs w:val="19"/>
                <w:rFonts w:ascii="Consolas" w:hAnsi="Consolas" w:eastAsia="Consolas" w:cs="Consolas"/>
              </w:rPr>
              <w:t>volatility = rolling_std(diff(mid_series))</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liquidity_score = max(0, 1 - spread / spread_cap)</w:t>
            </w:r>
          </w:p>
          <w:p>
            <w:pPr>
              <w:pStyle w:val="CodeBlock"/>
            </w:pPr>
            <w:r>
              <w:rPr>
                <w:color w:val="E2E8F0"/>
                <w:sz w:val="19"/>
                <w:szCs w:val="19"/>
                <w:rFonts w:ascii="Consolas" w:hAnsi="Consolas" w:eastAsia="Consolas" w:cs="Consolas"/>
              </w:rPr>
              <w:t>trading_cost = spread + fee_bps / 10000</w:t>
            </w:r>
          </w:p>
          <w:p>
            <w:pPr>
              <w:pStyle w:val="CodeBlock"/>
            </w:pPr>
            <w:r>
              <w:rPr>
                <w:color w:val="E2E8F0"/>
                <w:sz w:val="19"/>
                <w:szCs w:val="19"/>
                <w:rFonts w:ascii="Consolas" w:hAnsi="Consolas" w:eastAsia="Consolas" w:cs="Consolas"/>
              </w:rPr>
              <w:t>raw_edge = max(0, abs(momentum) - trading_cost - 0.4 * volatility)</w:t>
            </w:r>
          </w:p>
          <w:p>
            <w:pPr>
              <w:pStyle w:val="CodeBlock"/>
            </w:pPr>
            <w:r>
              <w:rPr>
                <w:color w:val="E2E8F0"/>
                <w:sz w:val="19"/>
                <w:szCs w:val="19"/>
                <w:rFonts w:ascii="Consolas" w:hAnsi="Consolas" w:eastAsia="Consolas" w:cs="Consolas"/>
              </w:rPr>
              <w:t>expected_edge = raw_edge * liquidity_score</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entry_threshold =</w:t>
            </w:r>
          </w:p>
          <w:p>
            <w:pPr>
              <w:pStyle w:val="CodeBlock"/>
            </w:pPr>
            <w:r>
              <w:rPr>
                <w:color w:val="E2E8F0"/>
                <w:sz w:val="19"/>
                <w:szCs w:val="19"/>
                <w:rFonts w:ascii="Consolas" w:hAnsi="Consolas" w:eastAsia="Consolas" w:cs="Consolas"/>
              </w:rPr>
              <w:t xml:space="preserve">    max(base_entry_threshold, 1.1 * trading_cost + 0.3 * volatility)</w:t>
            </w:r>
          </w:p>
          <w:p>
            <w:pPr>
              <w:pStyle w:val="CodeBlock"/>
            </w:pPr>
            <w:r>
              <w:rPr>
                <w:color w:val="E2E8F0"/>
                <w:sz w:val="19"/>
                <w:szCs w:val="19"/>
                <w:rFonts w:ascii="Consolas" w:hAnsi="Consolas" w:eastAsia="Consolas" w:cs="Consolas"/>
              </w:rPr>
              <w:t xml:space="preserve">    * regime_multiplier</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signal_strength = expected_edge / entry_threshold</w:t>
            </w:r>
          </w:p>
          <w:p>
            <w:pPr>
              <w:pStyle w:val="CodeBlock"/>
            </w:pPr>
            <w:r>
              <w:rPr>
                <w:color w:val="E2E8F0"/>
                <w:sz w:val="19"/>
                <w:szCs w:val="19"/>
                <w:rFonts w:ascii="Consolas" w:hAnsi="Consolas" w:eastAsia="Consolas" w:cs="Consolas"/>
              </w:rPr>
              <w:t>direction = BUY_YES if momentum &gt;= 0 else BUY_NO</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detected if:</w:t>
            </w:r>
          </w:p>
          <w:p>
            <w:pPr>
              <w:pStyle w:val="CodeBlock"/>
            </w:pPr>
            <w:r>
              <w:rPr>
                <w:color w:val="E2E8F0"/>
                <w:sz w:val="19"/>
                <w:szCs w:val="19"/>
                <w:rFonts w:ascii="Consolas" w:hAnsi="Consolas" w:eastAsia="Consolas" w:cs="Consolas"/>
              </w:rPr>
              <w:t xml:space="preserve">    observations &gt;= min_observations</w:t>
            </w:r>
          </w:p>
          <w:p>
            <w:pPr>
              <w:pStyle w:val="CodeBlock"/>
            </w:pPr>
            <w:r>
              <w:rPr>
                <w:color w:val="E2E8F0"/>
                <w:sz w:val="19"/>
                <w:szCs w:val="19"/>
                <w:rFonts w:ascii="Consolas" w:hAnsi="Consolas" w:eastAsia="Consolas" w:cs="Consolas"/>
              </w:rPr>
              <w:t xml:space="preserve">    spread &lt;= spread_cap</w:t>
            </w:r>
          </w:p>
          <w:p>
            <w:pPr>
              <w:pStyle w:val="CodeBlock"/>
            </w:pPr>
            <w:r>
              <w:rPr>
                <w:color w:val="E2E8F0"/>
                <w:sz w:val="19"/>
                <w:szCs w:val="19"/>
                <w:rFonts w:ascii="Consolas" w:hAnsi="Consolas" w:eastAsia="Consolas" w:cs="Consolas"/>
              </w:rPr>
              <w:t xml:space="preserve">    signal_strength &gt;= min_signal_strength</w:t>
            </w:r>
          </w:p>
          <w:p>
            <w:pPr>
              <w:pStyle w:val="CodeBlock"/>
            </w:pPr>
            <w:r>
              <w:rPr>
                <w:color w:val="E2E8F0"/>
                <w:sz w:val="19"/>
                <w:szCs w:val="19"/>
                <w:rFonts w:ascii="Consolas" w:hAnsi="Consolas" w:eastAsia="Consolas" w:cs="Consolas"/>
              </w:rPr>
              <w:t xml:space="preserve">    regime != CRISIS</w:t>
            </w:r>
          </w:p>
        </w:tc>
      </w:tr>
    </w:tbl>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B1220"/>
            <w:tcMar>
              <w:top w:w="90" w:type="dxa"/>
              <w:left w:w="120" w:type="dxa"/>
              <w:bottom w:w="90" w:type="dxa"/>
              <w:right w:w="120" w:type="dxa"/>
            </w:tcMar>
            <w:vAlign w:val="center"/>
          </w:tcPr>
          <w:p>
            <w:pPr>
              <w:pStyle w:val="CodeBlock"/>
            </w:pPr>
            <w:r>
              <w:rPr>
                <w:color w:val="E2E8F0"/>
                <w:sz w:val="19"/>
                <w:szCs w:val="19"/>
                <w:rFonts w:ascii="Consolas" w:hAnsi="Consolas" w:eastAsia="Consolas" w:cs="Consolas"/>
              </w:rPr>
              <w:t>risk_cap = equity * risk_per_trade_pct</w:t>
            </w:r>
          </w:p>
          <w:p>
            <w:pPr>
              <w:pStyle w:val="CodeBlock"/>
            </w:pPr>
            <w:r>
              <w:rPr>
                <w:color w:val="E2E8F0"/>
                <w:sz w:val="19"/>
                <w:szCs w:val="19"/>
                <w:rFonts w:ascii="Consolas" w:hAnsi="Consolas" w:eastAsia="Consolas" w:cs="Consolas"/>
              </w:rPr>
              <w:t>exposure_cap = equity * max_total_exposure_pct - capital_in_trade</w:t>
            </w:r>
          </w:p>
          <w:p>
            <w:pPr>
              <w:pStyle w:val="CodeBlock"/>
            </w:pPr>
            <w:r>
              <w:rPr>
                <w:color w:val="E2E8F0"/>
                <w:sz w:val="19"/>
                <w:szCs w:val="19"/>
                <w:rFonts w:ascii="Consolas" w:hAnsi="Consolas" w:eastAsia="Consolas" w:cs="Consolas"/>
              </w:rPr>
              <w:t>edge_scale = clamp(expected_edge / base_entry_threshold, 0, 1)</w:t>
            </w:r>
          </w:p>
          <w:p>
            <w:pPr>
              <w:pStyle w:val="CodeBlock"/>
            </w:pPr>
            <w:r>
              <w:rPr>
                <w:color w:val="E2E8F0"/>
                <w:sz w:val="19"/>
                <w:szCs w:val="19"/>
                <w:rFonts w:ascii="Consolas" w:hAnsi="Consolas" w:eastAsia="Consolas" w:cs="Consolas"/>
              </w:rPr>
              <w:t>kelly_scale = clamp(kelly_fraction * edge_scale, 0, 1)</w:t>
            </w:r>
          </w:p>
          <w:p>
            <w:pPr>
              <w:pStyle w:val="CodeBlock"/>
            </w:pPr>
            <w:r>
              <w:rPr>
                <w:color w:val="E2E8F0"/>
                <w:sz w:val="19"/>
                <w:szCs w:val="19"/>
                <w:rFonts w:ascii="Consolas" w:hAnsi="Consolas" w:eastAsia="Consolas" w:cs="Consolas"/>
              </w:rPr>
              <w:t>notional = min(risk_cap, exposure_cap) * kelly_scale</w:t>
            </w:r>
          </w:p>
        </w:tc>
      </w:tr>
    </w:tbl>
    <w:tbl>
      <w:tblPr>
        <w:tblW w:w="9026" w:type="dxa"/>
        <w:tblLayout w:type="fixed"/>
      </w:tblPr>
      <w:tblGrid>
        <w:gridCol w:w="2000"/>
        <w:gridCol w:w="1000"/>
        <w:gridCol w:w="1700"/>
        <w:gridCol w:w="4326"/>
      </w:tblGrid>
      <w:tr>
        <w:tc>
          <w:tcPr>
            <w:tcW w:w="20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Paramètre signal</w:t>
            </w:r>
          </w:p>
        </w:tc>
        <w:tc>
          <w:tcPr>
            <w:tcW w:w="10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Défaut</w:t>
            </w:r>
          </w:p>
        </w:tc>
        <w:tc>
          <w:tcPr>
            <w:tcW w:w="17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Plage recommandée</w:t>
            </w:r>
          </w:p>
        </w:tc>
        <w:tc>
          <w:tcPr>
            <w:tcW w:w="43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Effet</w:t>
            </w:r>
          </w:p>
        </w:tc>
      </w:tr>
      <w:tr>
        <w:tc>
          <w:tcPr>
            <w:tcW w:w="2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`base_entry_threshold`</w:t>
            </w:r>
          </w:p>
        </w:tc>
        <w:tc>
          <w:tcPr>
            <w:tcW w:w="1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0.005</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0.002 - 0.02</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Plancher absolu du seuil d’entrée.</w:t>
            </w:r>
          </w:p>
        </w:tc>
      </w:tr>
      <w:tr>
        <w:tc>
          <w:tcPr>
            <w:tcW w:w="2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`spread_cap`</w:t>
            </w:r>
          </w:p>
        </w:tc>
        <w:tc>
          <w:tcPr>
            <w:tcW w:w="1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0.06</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0.01 - 0.08</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Bloque les books trop larges.</w:t>
            </w:r>
          </w:p>
        </w:tc>
      </w:tr>
      <w:tr>
        <w:tc>
          <w:tcPr>
            <w:tcW w:w="2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`fee_bps`</w:t>
            </w:r>
          </w:p>
        </w:tc>
        <w:tc>
          <w:tcPr>
            <w:tcW w:w="1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8</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4 - 20</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Rentre dans le coût de trading et le PnL round-trip.</w:t>
            </w:r>
          </w:p>
        </w:tc>
      </w:tr>
      <w:tr>
        <w:tc>
          <w:tcPr>
            <w:tcW w:w="2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`min_observations`</w:t>
            </w:r>
          </w:p>
        </w:tc>
        <w:tc>
          <w:tcPr>
            <w:tcW w:w="1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4</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3 - 12</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Historique minimal avant détection.</w:t>
            </w:r>
          </w:p>
        </w:tc>
      </w:tr>
      <w:tr>
        <w:tc>
          <w:tcPr>
            <w:tcW w:w="2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`min_signal_strength`</w:t>
            </w:r>
          </w:p>
        </w:tc>
        <w:tc>
          <w:tcPr>
            <w:tcW w:w="1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1.0</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1.0 - 2.0</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Rapport edge / threshold minimal.</w:t>
            </w:r>
          </w:p>
        </w:tc>
      </w:tr>
      <w:tr>
        <w:tc>
          <w:tcPr>
            <w:tcW w:w="2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`lookback`</w:t>
            </w:r>
          </w:p>
        </w:tc>
        <w:tc>
          <w:tcPr>
            <w:tcW w:w="1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20</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10 - 60</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Fenêtre de la série mid utilisée pour momentum / vol.</w:t>
            </w:r>
          </w:p>
        </w:tc>
      </w:tr>
      <w:tr>
        <w:tc>
          <w:tcPr>
            <w:tcW w:w="2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`signal_staleness_seconds`</w:t>
            </w:r>
          </w:p>
        </w:tc>
        <w:tc>
          <w:tcPr>
            <w:tcW w:w="1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3 s</w:t>
            </w:r>
          </w:p>
        </w:tc>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1 - 10 s</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Au-delà, le marché est considéré stale.</w:t>
            </w:r>
          </w:p>
        </w:tc>
      </w:tr>
      <w:tr>
        <w:tc>
          <w:tcPr>
            <w:tcW w:w="2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`cooldown_seconds`</w:t>
            </w:r>
          </w:p>
        </w:tc>
        <w:tc>
          <w:tcPr>
            <w:tcW w:w="1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10 s</w:t>
            </w:r>
          </w:p>
        </w:tc>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5 - 60 s</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Évite la réentrée immédiate sur un marché récemment traité.</w:t>
            </w:r>
          </w:p>
        </w:tc>
      </w:tr>
    </w:tbl>
    <w:tbl>
      <w:tblPr>
        <w:tblW w:w="9026" w:type="dxa"/>
        <w:tblLayout w:type="fixed"/>
      </w:tblPr>
      <w:tblGrid>
        <w:gridCol w:w="2200"/>
        <w:gridCol w:w="1000"/>
        <w:gridCol w:w="1500"/>
        <w:gridCol w:w="4326"/>
      </w:tblGrid>
      <w:tr>
        <w:tc>
          <w:tcPr>
            <w:tcW w:w="22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Paramètre allocation</w:t>
            </w:r>
          </w:p>
        </w:tc>
        <w:tc>
          <w:tcPr>
            <w:tcW w:w="10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Défaut</w:t>
            </w:r>
          </w:p>
        </w:tc>
        <w:tc>
          <w:tcPr>
            <w:tcW w:w="15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Plage recommandée</w:t>
            </w:r>
          </w:p>
        </w:tc>
        <w:tc>
          <w:tcPr>
            <w:tcW w:w="43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Effet</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`risk_per_trade_pct`</w:t>
            </w:r>
          </w:p>
        </w:tc>
        <w:tc>
          <w:tcPr>
            <w:tcW w:w="1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w:t>
            </w:r>
          </w:p>
        </w:tc>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0.25% - 2%</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Cap nominal par trade.</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`max_total_exposure_pct`</w:t>
            </w:r>
          </w:p>
        </w:tc>
        <w:tc>
          <w:tcPr>
            <w:tcW w:w="1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25%</w:t>
            </w:r>
          </w:p>
        </w:tc>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10% - 40%</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Cap global portefeuille engagé.</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`kelly_fraction`</w:t>
            </w:r>
          </w:p>
        </w:tc>
        <w:tc>
          <w:tcPr>
            <w:tcW w:w="1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25%</w:t>
            </w:r>
          </w:p>
        </w:tc>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10% - 50%</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Fraction de Kelly appliquée à l’edge normalisé.</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`allocation_mode`</w:t>
            </w:r>
          </w:p>
        </w:tc>
        <w:tc>
          <w:tcPr>
            <w:tcW w:w="1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`automatic`</w:t>
            </w:r>
          </w:p>
        </w:tc>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`automatic` / `manual`</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Mode sizing adaptatif ou ticket fixe.</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`manual_notional_amount`</w:t>
            </w:r>
          </w:p>
        </w:tc>
        <w:tc>
          <w:tcPr>
            <w:tcW w:w="1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100 USDC</w:t>
            </w:r>
          </w:p>
        </w:tc>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10 - 500</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Ticket fixe si mode manuel.</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`max_concurrent_positions`</w:t>
            </w:r>
          </w:p>
        </w:tc>
        <w:tc>
          <w:tcPr>
            <w:tcW w:w="1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4</w:t>
            </w:r>
          </w:p>
        </w:tc>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1 - 10</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Cap positions ouvertes.</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`max_positions_per_tick`</w:t>
            </w:r>
          </w:p>
        </w:tc>
        <w:tc>
          <w:tcPr>
            <w:tcW w:w="10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w:t>
            </w:r>
          </w:p>
        </w:tc>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1 - 3</w:t>
            </w:r>
          </w:p>
        </w:tc>
        <w:tc>
          <w:tcPr>
            <w:tcW w:w="4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Débit de nouvelles positions par cycle.</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`max_holding_seconds`</w:t>
            </w:r>
          </w:p>
        </w:tc>
        <w:tc>
          <w:tcPr>
            <w:tcW w:w="10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180 s</w:t>
            </w:r>
          </w:p>
        </w:tc>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30 - 900 s</w:t>
            </w:r>
          </w:p>
        </w:tc>
        <w:tc>
          <w:tcPr>
            <w:tcW w:w="4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Sortie forcée si le signal ne se matérialise pas vite.</w:t>
            </w:r>
          </w:p>
        </w:tc>
      </w:tr>
    </w:tbl>
    <w:p>
      <w:r>
        <w:t>Au runtime, `LiveHub.tick()` ajoute des garde-fous supplémentaires: quote live requise, staleness contrôlée, `complement_gap &lt;= 0.02`, absence de position déjà ouverte sur le marché, et plancher P0 `expected_edge &gt; 0.002`.</w:t>
      </w:r>
    </w:p>
    <w:p>
      <w:pPr>
        <w:pStyle w:val="Heading1"/>
        <w:keepNext/>
        <w:pageBreakBefore/>
        <w:spacing w:before="240" w:after="120"/>
      </w:pPr>
      <w:r>
        <w:t>4. Risk Management</w:t>
      </w:r>
    </w:p>
    <w:p>
      <w:r>
        <w:t>Le risk management est réparti entre `RiskConfig`, `AdaptiveStrategyEngine.size_position()` et `RiskGuard`. L’objectif est d’empêcher qu’un bon signal algorithmique ne soit envoyé vers l’exécution si la taille, l’exposition globale, la dégradation API ou la perte cumulée violent les contraintes de portefeuille.</w:t>
      </w:r>
    </w:p>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B1220"/>
            <w:tcMar>
              <w:top w:w="90" w:type="dxa"/>
              <w:left w:w="120" w:type="dxa"/>
              <w:bottom w:w="90" w:type="dxa"/>
              <w:right w:w="120" w:type="dxa"/>
            </w:tcMar>
            <w:vAlign w:val="center"/>
          </w:tcPr>
          <w:p>
            <w:pPr>
              <w:pStyle w:val="CodeBlock"/>
            </w:pPr>
            <w:r>
              <w:rPr>
                <w:color w:val="E2E8F0"/>
                <w:sz w:val="19"/>
                <w:szCs w:val="19"/>
                <w:rFonts w:ascii="Consolas" w:hAnsi="Consolas" w:eastAsia="Consolas" w:cs="Consolas"/>
              </w:rPr>
              <w:t>starting_equity = equity - total_pnl</w:t>
            </w:r>
          </w:p>
          <w:p>
            <w:pPr>
              <w:pStyle w:val="CodeBlock"/>
            </w:pPr>
            <w:r>
              <w:rPr>
                <w:color w:val="E2E8F0"/>
                <w:sz w:val="19"/>
                <w:szCs w:val="19"/>
                <w:rFonts w:ascii="Consolas" w:hAnsi="Consolas" w:eastAsia="Consolas" w:cs="Consolas"/>
              </w:rPr>
              <w:t>if total_pnl &lt; 0:</w:t>
            </w:r>
          </w:p>
          <w:p>
            <w:pPr>
              <w:pStyle w:val="CodeBlock"/>
            </w:pPr>
            <w:r>
              <w:rPr>
                <w:color w:val="E2E8F0"/>
                <w:sz w:val="19"/>
                <w:szCs w:val="19"/>
                <w:rFonts w:ascii="Consolas" w:hAnsi="Consolas" w:eastAsia="Consolas" w:cs="Consolas"/>
              </w:rPr>
              <w:t xml:space="preserve">    current_drawdown_pct = abs(total_pnl) / starting_equity</w:t>
            </w:r>
          </w:p>
          <w:p>
            <w:pPr>
              <w:pStyle w:val="CodeBlock"/>
            </w:pPr>
            <w:r>
              <w:rPr>
                <w:color w:val="E2E8F0"/>
                <w:sz w:val="19"/>
                <w:szCs w:val="19"/>
                <w:rFonts w:ascii="Consolas" w:hAnsi="Consolas" w:eastAsia="Consolas" w:cs="Consolas"/>
              </w:rPr>
              <w:t>else:</w:t>
            </w:r>
          </w:p>
          <w:p>
            <w:pPr>
              <w:pStyle w:val="CodeBlock"/>
            </w:pPr>
            <w:r>
              <w:rPr>
                <w:color w:val="E2E8F0"/>
                <w:sz w:val="19"/>
                <w:szCs w:val="19"/>
                <w:rFonts w:ascii="Consolas" w:hAnsi="Consolas" w:eastAsia="Consolas" w:cs="Consolas"/>
              </w:rPr>
              <w:t xml:space="preserve">    current_drawdown_pct = 0</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HALT if current_drawdown_pct &gt;= max_drawdown_stop_pct</w:t>
            </w:r>
          </w:p>
          <w:p>
            <w:pPr>
              <w:pStyle w:val="CodeBlock"/>
            </w:pPr>
            <w:r>
              <w:rPr>
                <w:color w:val="E2E8F0"/>
                <w:sz w:val="19"/>
                <w:szCs w:val="19"/>
                <w:rFonts w:ascii="Consolas" w:hAnsi="Consolas" w:eastAsia="Consolas" w:cs="Consolas"/>
              </w:rPr>
              <w:t>HALT if consecutive_api_failures &gt;= 3</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On halt:</w:t>
            </w:r>
          </w:p>
          <w:p>
            <w:pPr>
              <w:pStyle w:val="CodeBlock"/>
            </w:pPr>
            <w:r>
              <w:rPr>
                <w:color w:val="E2E8F0"/>
                <w:sz w:val="19"/>
                <w:szCs w:val="19"/>
                <w:rFonts w:ascii="Consolas" w:hAnsi="Consolas" w:eastAsia="Consolas" w:cs="Consolas"/>
              </w:rPr>
              <w:t xml:space="preserve">    set_command("stop")</w:t>
            </w:r>
          </w:p>
          <w:p>
            <w:pPr>
              <w:pStyle w:val="CodeBlock"/>
            </w:pPr>
            <w:r>
              <w:rPr>
                <w:color w:val="E2E8F0"/>
                <w:sz w:val="19"/>
                <w:szCs w:val="19"/>
                <w:rFonts w:ascii="Consolas" w:hAnsi="Consolas" w:eastAsia="Consolas" w:cs="Consolas"/>
              </w:rPr>
              <w:t xml:space="preserve">    cancel_all_open_orders()</w:t>
            </w:r>
          </w:p>
          <w:p>
            <w:pPr>
              <w:pStyle w:val="CodeBlock"/>
            </w:pPr>
            <w:r>
              <w:rPr>
                <w:color w:val="E2E8F0"/>
                <w:sz w:val="19"/>
                <w:szCs w:val="19"/>
                <w:rFonts w:ascii="Consolas" w:hAnsi="Consolas" w:eastAsia="Consolas" w:cs="Consolas"/>
              </w:rPr>
              <w:t xml:space="preserve">    broadcast(type="halt", reason=..., details=...)</w:t>
            </w:r>
          </w:p>
        </w:tc>
      </w:tr>
    </w:tbl>
    <w:tbl>
      <w:tblPr>
        <w:tblW w:w="9026" w:type="dxa"/>
        <w:tblLayout w:type="fixed"/>
      </w:tblPr>
      <w:tblGrid>
        <w:gridCol w:w="1500"/>
        <w:gridCol w:w="1900"/>
        <w:gridCol w:w="1500"/>
        <w:gridCol w:w="4126"/>
      </w:tblGrid>
      <w:tr>
        <w:tc>
          <w:tcPr>
            <w:tcW w:w="15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Régime</w:t>
            </w:r>
          </w:p>
        </w:tc>
        <w:tc>
          <w:tcPr>
            <w:tcW w:w="19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Critère volatilité</w:t>
            </w:r>
          </w:p>
        </w:tc>
        <w:tc>
          <w:tcPr>
            <w:tcW w:w="15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Multiplicateur seuil</w:t>
            </w:r>
          </w:p>
        </w:tc>
        <w:tc>
          <w:tcPr>
            <w:tcW w:w="41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Politique</w:t>
            </w:r>
          </w:p>
        </w:tc>
      </w:tr>
      <w:tr>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LOW_VOL</w:t>
            </w:r>
          </w:p>
        </w:tc>
        <w:tc>
          <w:tcPr>
            <w:tcW w:w="19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`volatility &lt; 0.005`</w:t>
            </w:r>
          </w:p>
        </w:tc>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0.7x</w:t>
            </w:r>
          </w:p>
        </w:tc>
        <w:tc>
          <w:tcPr>
            <w:tcW w:w="41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Autorise des seuils plus bas dans un marché calme.</w:t>
            </w:r>
          </w:p>
        </w:tc>
      </w:tr>
      <w:tr>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NORMAL</w:t>
            </w:r>
          </w:p>
        </w:tc>
        <w:tc>
          <w:tcPr>
            <w:tcW w:w="19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`0.005 &lt;= vol &lt;= 0.015`</w:t>
            </w:r>
          </w:p>
        </w:tc>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1.0x</w:t>
            </w:r>
          </w:p>
        </w:tc>
        <w:tc>
          <w:tcPr>
            <w:tcW w:w="41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Régime nominal.</w:t>
            </w:r>
          </w:p>
        </w:tc>
      </w:tr>
      <w:tr>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HIGH_VOL</w:t>
            </w:r>
          </w:p>
        </w:tc>
        <w:tc>
          <w:tcPr>
            <w:tcW w:w="19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`0.015 &lt; vol &lt;= 0.03`</w:t>
            </w:r>
          </w:p>
        </w:tc>
        <w:tc>
          <w:tcPr>
            <w:tcW w:w="1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1.5x</w:t>
            </w:r>
          </w:p>
        </w:tc>
        <w:tc>
          <w:tcPr>
            <w:tcW w:w="41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Hausse des exigences d’entrée.</w:t>
            </w:r>
          </w:p>
        </w:tc>
      </w:tr>
      <w:tr>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CRISIS</w:t>
            </w:r>
          </w:p>
        </w:tc>
        <w:tc>
          <w:tcPr>
            <w:tcW w:w="19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`vol &gt; 0.03`</w:t>
            </w:r>
          </w:p>
        </w:tc>
        <w:tc>
          <w:tcPr>
            <w:tcW w:w="1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1.0x mais `detected=False`</w:t>
            </w:r>
          </w:p>
        </w:tc>
        <w:tc>
          <w:tcPr>
            <w:tcW w:w="41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Aucune nouvelle position; signal bloqué par construction.</w:t>
            </w:r>
          </w:p>
        </w:tc>
      </w:tr>
    </w:tbl>
    <w:tbl>
      <w:tblPr>
        <w:tblW w:w="9026" w:type="dxa"/>
        <w:tblLayout w:type="fixed"/>
      </w:tblPr>
      <w:tblGrid>
        <w:gridCol w:w="2200"/>
        <w:gridCol w:w="1400"/>
        <w:gridCol w:w="5426"/>
      </w:tblGrid>
      <w:tr>
        <w:tc>
          <w:tcPr>
            <w:tcW w:w="22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Limite</w:t>
            </w:r>
          </w:p>
        </w:tc>
        <w:tc>
          <w:tcPr>
            <w:tcW w:w="14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Valeur runtime</w:t>
            </w:r>
          </w:p>
        </w:tc>
        <w:tc>
          <w:tcPr>
            <w:tcW w:w="54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Action si dépassée</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Perte max portefeuille</w:t>
            </w:r>
          </w:p>
        </w:tc>
        <w:tc>
          <w:tcPr>
            <w:tcW w:w="1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10%</w:t>
            </w:r>
          </w:p>
        </w:tc>
        <w:tc>
          <w:tcPr>
            <w:tcW w:w="54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Arrêt complet du bot + tentative d’annulation ordres.</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Échecs API consécutifs</w:t>
            </w:r>
          </w:p>
        </w:tc>
        <w:tc>
          <w:tcPr>
            <w:tcW w:w="14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3</w:t>
            </w:r>
          </w:p>
        </w:tc>
        <w:tc>
          <w:tcPr>
            <w:tcW w:w="54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Kill switch `api_failures`.</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Exposition totale</w:t>
            </w:r>
          </w:p>
        </w:tc>
        <w:tc>
          <w:tcPr>
            <w:tcW w:w="1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25% de l’equity</w:t>
            </w:r>
          </w:p>
        </w:tc>
        <w:tc>
          <w:tcPr>
            <w:tcW w:w="54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Aucun nouveau trade autorisé si `exposure_cap &lt;= 0`.</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Risque unitaire</w:t>
            </w:r>
          </w:p>
        </w:tc>
        <w:tc>
          <w:tcPr>
            <w:tcW w:w="14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 de l’equity</w:t>
            </w:r>
          </w:p>
        </w:tc>
        <w:tc>
          <w:tcPr>
            <w:tcW w:w="54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Cap nominal avant modulation Kelly.</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Positions simultanées</w:t>
            </w:r>
          </w:p>
        </w:tc>
        <w:tc>
          <w:tcPr>
            <w:tcW w:w="1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4</w:t>
            </w:r>
          </w:p>
        </w:tc>
        <w:tc>
          <w:tcPr>
            <w:tcW w:w="54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Blocage des nouvelles entrées au-delà.</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Nouvelles positions / tick</w:t>
            </w:r>
          </w:p>
        </w:tc>
        <w:tc>
          <w:tcPr>
            <w:tcW w:w="14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w:t>
            </w:r>
          </w:p>
        </w:tc>
        <w:tc>
          <w:tcPr>
            <w:tcW w:w="54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Lissage du débit d’exécution.</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Âge maximal du signal</w:t>
            </w:r>
          </w:p>
        </w:tc>
        <w:tc>
          <w:tcPr>
            <w:tcW w:w="1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3 s (stale)</w:t>
            </w:r>
          </w:p>
        </w:tc>
        <w:tc>
          <w:tcPr>
            <w:tcW w:w="54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Marché écarté de la sélection.</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Holding max</w:t>
            </w:r>
          </w:p>
        </w:tc>
        <w:tc>
          <w:tcPr>
            <w:tcW w:w="14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180 s</w:t>
            </w:r>
          </w:p>
        </w:tc>
        <w:tc>
          <w:tcPr>
            <w:tcW w:w="54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Clôture automatique si âge trop élevé ou signal détérioré.</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Complément YES+NO</w:t>
            </w:r>
          </w:p>
        </w:tc>
        <w:tc>
          <w:tcPr>
            <w:tcW w:w="1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`gap &lt;= 0.02`</w:t>
            </w:r>
          </w:p>
        </w:tc>
        <w:tc>
          <w:tcPr>
            <w:tcW w:w="54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Marché réputé incohérent sinon.</w:t>
            </w:r>
          </w:p>
        </w:tc>
      </w:tr>
    </w:tbl>
    <w:p>
      <w:r>
        <w:t>La taille finale est volontairement prudente: même si l’edge est fort, `kelly_fraction` limite la convexité et `exposure_cap` empêche la saturation du portefeuille. En mode manuel, le runtime bascule sur un ticket fixe et n’utilise plus la formule d’allocation automatique.</w:t>
      </w:r>
    </w:p>
    <w:p>
      <w:pPr>
        <w:pStyle w:val="Heading1"/>
        <w:keepNext/>
        <w:pageBreakBefore/>
        <w:spacing w:before="240" w:after="120"/>
      </w:pPr>
      <w:r>
        <w:t>5. Pipeline de données</w:t>
      </w:r>
    </w:p>
    <w:p>
      <w:pPr>
        <w:pStyle w:val="Heading2"/>
        <w:keepNext/>
        <w:spacing w:before="120" w:after="120"/>
      </w:pPr>
      <w:r>
        <w:t>5.1 WebSocket Polymarket</w:t>
      </w:r>
    </w:p>
    <w:p>
      <w:r>
        <w:t>Le canal public `wss://ws-subscriptions-clob.polymarket.com/ws/market` diffuse snapshots de carnet, updates incrémentales et événements de cycle de vie marché. Le runtime principal envoie aujourd’hui un payload de souscription conforme à la documentation officielle, par batchs de 100 assets.</w:t>
      </w:r>
    </w:p>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B1220"/>
            <w:tcMar>
              <w:top w:w="90" w:type="dxa"/>
              <w:left w:w="120" w:type="dxa"/>
              <w:bottom w:w="90" w:type="dxa"/>
              <w:right w:w="120" w:type="dxa"/>
            </w:tcMar>
            <w:vAlign w:val="center"/>
          </w:tcPr>
          <w:p>
            <w:pPr>
              <w:pStyle w:val="CodeBlock"/>
            </w:pPr>
            <w:r>
              <w:rPr>
                <w:color w:val="E2E8F0"/>
                <w:sz w:val="19"/>
                <w:szCs w:val="19"/>
                <w:rFonts w:ascii="Consolas" w:hAnsi="Consolas" w:eastAsia="Consolas" w:cs="Consolas"/>
              </w:rPr>
              <w:t>Subscription request (runtime live hub):</w:t>
            </w:r>
          </w:p>
          <w:p>
            <w:pPr>
              <w:pStyle w:val="CodeBlock"/>
            </w:pPr>
            <w:r>
              <w:rPr>
                <w:color w:val="E2E8F0"/>
                <w:sz w:val="19"/>
                <w:szCs w:val="19"/>
                <w:rFonts w:ascii="Consolas" w:hAnsi="Consolas" w:eastAsia="Consolas" w:cs="Consolas"/>
              </w:rPr>
              <w:t>{</w:t>
            </w:r>
          </w:p>
          <w:p>
            <w:pPr>
              <w:pStyle w:val="CodeBlock"/>
            </w:pPr>
            <w:r>
              <w:rPr>
                <w:color w:val="E2E8F0"/>
                <w:sz w:val="19"/>
                <w:szCs w:val="19"/>
                <w:rFonts w:ascii="Consolas" w:hAnsi="Consolas" w:eastAsia="Consolas" w:cs="Consolas"/>
              </w:rPr>
              <w:t xml:space="preserve">  "assets_ids": ["&lt;token_yes&gt;", "&lt;token_no&gt;", "..."],</w:t>
            </w:r>
          </w:p>
          <w:p>
            <w:pPr>
              <w:pStyle w:val="CodeBlock"/>
            </w:pPr>
            <w:r>
              <w:rPr>
                <w:color w:val="E2E8F0"/>
                <w:sz w:val="19"/>
                <w:szCs w:val="19"/>
                <w:rFonts w:ascii="Consolas" w:hAnsi="Consolas" w:eastAsia="Consolas" w:cs="Consolas"/>
              </w:rPr>
              <w:t xml:space="preserve">  "type": "market"</w:t>
            </w:r>
          </w:p>
          <w:p>
            <w:pPr>
              <w:pStyle w:val="CodeBlock"/>
            </w:pPr>
            <w:r>
              <w:rPr>
                <w:color w:val="E2E8F0"/>
                <w:sz w:val="19"/>
                <w:szCs w:val="19"/>
                <w:rFonts w:ascii="Consolas" w:hAnsi="Consolas" w:eastAsia="Consolas" w:cs="Consolas"/>
              </w:rPr>
              <w:t>}</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Événements consommés:</w:t>
            </w:r>
          </w:p>
          <w:p>
            <w:pPr>
              <w:pStyle w:val="CodeBlock"/>
            </w:pPr>
            <w:r>
              <w:rPr>
                <w:color w:val="E2E8F0"/>
                <w:sz w:val="19"/>
                <w:szCs w:val="19"/>
                <w:rFonts w:ascii="Consolas" w:hAnsi="Consolas" w:eastAsia="Consolas" w:cs="Consolas"/>
              </w:rPr>
              <w:t xml:space="preserve">- book          -&gt; bids[] / asks[]</w:t>
            </w:r>
          </w:p>
          <w:p>
            <w:pPr>
              <w:pStyle w:val="CodeBlock"/>
            </w:pPr>
            <w:r>
              <w:rPr>
                <w:color w:val="E2E8F0"/>
                <w:sz w:val="19"/>
                <w:szCs w:val="19"/>
                <w:rFonts w:ascii="Consolas" w:hAnsi="Consolas" w:eastAsia="Consolas" w:cs="Consolas"/>
              </w:rPr>
              <w:t xml:space="preserve">- price_change  -&gt; price_changes[] avec best_bid / best_ask</w:t>
            </w:r>
          </w:p>
          <w:p>
            <w:pPr>
              <w:pStyle w:val="CodeBlock"/>
            </w:pPr>
            <w:r>
              <w:rPr>
                <w:color w:val="E2E8F0"/>
                <w:sz w:val="19"/>
                <w:szCs w:val="19"/>
                <w:rFonts w:ascii="Consolas" w:hAnsi="Consolas" w:eastAsia="Consolas" w:cs="Consolas"/>
              </w:rPr>
              <w:t xml:space="preserve">- best_bid_ask  -&gt; meilleur bid/ask compact</w:t>
            </w:r>
          </w:p>
        </w:tc>
      </w:tr>
    </w:tbl>
    <w:tbl>
      <w:tblPr>
        <w:tblW w:w="9026" w:type="dxa"/>
        <w:tblLayout w:type="fixed"/>
      </w:tblPr>
      <w:tblGrid>
        <w:gridCol w:w="2700"/>
        <w:gridCol w:w="6326"/>
      </w:tblGrid>
      <w:tr>
        <w:tc>
          <w:tcPr>
            <w:tcW w:w="27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Message / champ</w:t>
            </w:r>
          </w:p>
        </w:tc>
        <w:tc>
          <w:tcPr>
            <w:tcW w:w="63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Usage dans Poybot</w:t>
            </w:r>
          </w:p>
        </w:tc>
      </w:tr>
      <w:tr>
        <w:tc>
          <w:tcPr>
            <w:tcW w:w="2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`book.asset_id`, `market`, `bids[]`, `asks[]`</w:t>
            </w:r>
          </w:p>
        </w:tc>
        <w:tc>
          <w:tcPr>
            <w:tcW w:w="6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Initialise ou réhydrate le top-of-book complet d’un token.</w:t>
            </w:r>
          </w:p>
        </w:tc>
      </w:tr>
      <w:tr>
        <w:tc>
          <w:tcPr>
            <w:tcW w:w="2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`price_change.price_changes[].best_bid / best_ask`</w:t>
            </w:r>
          </w:p>
        </w:tc>
        <w:tc>
          <w:tcPr>
            <w:tcW w:w="6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Met à jour rapidement le meilleur bid/ask sans recharger tout le book.</w:t>
            </w:r>
          </w:p>
        </w:tc>
      </w:tr>
      <w:tr>
        <w:tc>
          <w:tcPr>
            <w:tcW w:w="2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`best_bid_ask.best_bid / best_ask / spread`</w:t>
            </w:r>
          </w:p>
        </w:tc>
        <w:tc>
          <w:tcPr>
            <w:tcW w:w="63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Format compact compatible avec une optimisation future du parseur.</w:t>
            </w:r>
          </w:p>
        </w:tc>
      </w:tr>
      <w:tr>
        <w:tc>
          <w:tcPr>
            <w:tcW w:w="2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`timestamp`</w:t>
            </w:r>
          </w:p>
        </w:tc>
        <w:tc>
          <w:tcPr>
            <w:tcW w:w="63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Base de fraîcheur quote et calcul de staleness côté runtime.</w:t>
            </w:r>
          </w:p>
        </w:tc>
      </w:tr>
    </w:tbl>
    <w:p>
      <w:r>
        <w:t>Note de cohérence: `PolymarketWsIngestor` persistant utilise encore un payload de type `{"type": "subscribe", "channel": "market", ...}`. Cette divergence documentaire / runtime doit être résorbée pour éviter des comportements différents entre le flux de persistance et le flux opérateur.</w:t>
      </w:r>
    </w:p>
    <w:p>
      <w:pPr>
        <w:pStyle w:val="Heading2"/>
        <w:keepNext/>
        <w:spacing w:before="120" w:after="120"/>
      </w:pPr>
      <w:r>
        <w:t>5.2 WebSocket Binance (bookTicker)</w:t>
      </w:r>
    </w:p>
    <w:p>
      <w:r>
        <w:t>Le dépôt ne contient pas encore d’ingestor Binance. Pour la stratégie de latency arbitrage, la brique cible recommandée est le stream spot officiel `&lt;symbol&gt;@bookTicker`, consommé en mode raw ou via souscription JSON. Cette section décrit donc l’interface cible, pas un composant déjà branché au runtime.</w:t>
      </w:r>
    </w:p>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B1220"/>
            <w:tcMar>
              <w:top w:w="90" w:type="dxa"/>
              <w:left w:w="120" w:type="dxa"/>
              <w:bottom w:w="90" w:type="dxa"/>
              <w:right w:w="120" w:type="dxa"/>
            </w:tcMar>
            <w:vAlign w:val="center"/>
          </w:tcPr>
          <w:p>
            <w:pPr>
              <w:pStyle w:val="CodeBlock"/>
            </w:pPr>
            <w:r>
              <w:rPr>
                <w:color w:val="E2E8F0"/>
                <w:sz w:val="19"/>
                <w:szCs w:val="19"/>
                <w:rFonts w:ascii="Consolas" w:hAnsi="Consolas" w:eastAsia="Consolas" w:cs="Consolas"/>
              </w:rPr>
              <w:t>Raw stream:</w:t>
            </w:r>
          </w:p>
          <w:p>
            <w:pPr>
              <w:pStyle w:val="CodeBlock"/>
            </w:pPr>
            <w:r>
              <w:rPr>
                <w:color w:val="E2E8F0"/>
                <w:sz w:val="19"/>
                <w:szCs w:val="19"/>
                <w:rFonts w:ascii="Consolas" w:hAnsi="Consolas" w:eastAsia="Consolas" w:cs="Consolas"/>
              </w:rPr>
              <w:t>wss://stream.binance.com:9443/ws/btcusdt@bookTicker</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Payload cible:</w:t>
            </w:r>
          </w:p>
          <w:p>
            <w:pPr>
              <w:pStyle w:val="CodeBlock"/>
            </w:pPr>
            <w:r>
              <w:rPr>
                <w:color w:val="E2E8F0"/>
                <w:sz w:val="19"/>
                <w:szCs w:val="19"/>
                <w:rFonts w:ascii="Consolas" w:hAnsi="Consolas" w:eastAsia="Consolas" w:cs="Consolas"/>
              </w:rPr>
              <w:t>{</w:t>
            </w:r>
          </w:p>
          <w:p>
            <w:pPr>
              <w:pStyle w:val="CodeBlock"/>
            </w:pPr>
            <w:r>
              <w:rPr>
                <w:color w:val="E2E8F0"/>
                <w:sz w:val="19"/>
                <w:szCs w:val="19"/>
                <w:rFonts w:ascii="Consolas" w:hAnsi="Consolas" w:eastAsia="Consolas" w:cs="Consolas"/>
              </w:rPr>
              <w:t xml:space="preserve">  "u": 400900217,</w:t>
            </w:r>
          </w:p>
          <w:p>
            <w:pPr>
              <w:pStyle w:val="CodeBlock"/>
            </w:pPr>
            <w:r>
              <w:rPr>
                <w:color w:val="E2E8F0"/>
                <w:sz w:val="19"/>
                <w:szCs w:val="19"/>
                <w:rFonts w:ascii="Consolas" w:hAnsi="Consolas" w:eastAsia="Consolas" w:cs="Consolas"/>
              </w:rPr>
              <w:t xml:space="preserve">  "s": "BTCUSDT",</w:t>
            </w:r>
          </w:p>
          <w:p>
            <w:pPr>
              <w:pStyle w:val="CodeBlock"/>
            </w:pPr>
            <w:r>
              <w:rPr>
                <w:color w:val="E2E8F0"/>
                <w:sz w:val="19"/>
                <w:szCs w:val="19"/>
                <w:rFonts w:ascii="Consolas" w:hAnsi="Consolas" w:eastAsia="Consolas" w:cs="Consolas"/>
              </w:rPr>
              <w:t xml:space="preserve">  "b": "25.35190000",</w:t>
            </w:r>
          </w:p>
          <w:p>
            <w:pPr>
              <w:pStyle w:val="CodeBlock"/>
            </w:pPr>
            <w:r>
              <w:rPr>
                <w:color w:val="E2E8F0"/>
                <w:sz w:val="19"/>
                <w:szCs w:val="19"/>
                <w:rFonts w:ascii="Consolas" w:hAnsi="Consolas" w:eastAsia="Consolas" w:cs="Consolas"/>
              </w:rPr>
              <w:t xml:space="preserve">  "B": "31.21000000",</w:t>
            </w:r>
          </w:p>
          <w:p>
            <w:pPr>
              <w:pStyle w:val="CodeBlock"/>
            </w:pPr>
            <w:r>
              <w:rPr>
                <w:color w:val="E2E8F0"/>
                <w:sz w:val="19"/>
                <w:szCs w:val="19"/>
                <w:rFonts w:ascii="Consolas" w:hAnsi="Consolas" w:eastAsia="Consolas" w:cs="Consolas"/>
              </w:rPr>
              <w:t xml:space="preserve">  "a": "25.36520000",</w:t>
            </w:r>
          </w:p>
          <w:p>
            <w:pPr>
              <w:pStyle w:val="CodeBlock"/>
            </w:pPr>
            <w:r>
              <w:rPr>
                <w:color w:val="E2E8F0"/>
                <w:sz w:val="19"/>
                <w:szCs w:val="19"/>
                <w:rFonts w:ascii="Consolas" w:hAnsi="Consolas" w:eastAsia="Consolas" w:cs="Consolas"/>
              </w:rPr>
              <w:t xml:space="preserve">  "A": "40.66000000"</w:t>
            </w:r>
          </w:p>
          <w:p>
            <w:pPr>
              <w:pStyle w:val="CodeBlock"/>
            </w:pPr>
            <w:r>
              <w:rPr>
                <w:color w:val="E2E8F0"/>
                <w:sz w:val="19"/>
                <w:szCs w:val="19"/>
                <w:rFonts w:ascii="Consolas" w:hAnsi="Consolas" w:eastAsia="Consolas" w:cs="Consolas"/>
              </w:rPr>
              <w:t>}</w:t>
            </w:r>
          </w:p>
        </w:tc>
      </w:tr>
    </w:tbl>
    <w:tbl>
      <w:tblPr>
        <w:tblW w:w="9026" w:type="dxa"/>
        <w:tblLayout w:type="fixed"/>
      </w:tblPr>
      <w:tblGrid>
        <w:gridCol w:w="1200"/>
        <w:gridCol w:w="1900"/>
        <w:gridCol w:w="5926"/>
      </w:tblGrid>
      <w:tr>
        <w:tc>
          <w:tcPr>
            <w:tcW w:w="12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Champ</w:t>
            </w:r>
          </w:p>
        </w:tc>
        <w:tc>
          <w:tcPr>
            <w:tcW w:w="19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Description</w:t>
            </w:r>
          </w:p>
        </w:tc>
        <w:tc>
          <w:tcPr>
            <w:tcW w:w="59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Usage prévu</w:t>
            </w:r>
          </w:p>
        </w:tc>
      </w:tr>
      <w:tr>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w:t>
            </w:r>
          </w:p>
        </w:tc>
        <w:tc>
          <w:tcPr>
            <w:tcW w:w="19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Symbole spot</w:t>
            </w:r>
          </w:p>
        </w:tc>
        <w:tc>
          <w:tcPr>
            <w:tcW w:w="5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Mapping vers les marchés Polymarket strike/expiry.</w:t>
            </w:r>
          </w:p>
        </w:tc>
      </w:tr>
      <w:tr>
        <w:tc>
          <w:tcPr>
            <w:tcW w:w="1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 / `a`</w:t>
            </w:r>
          </w:p>
        </w:tc>
        <w:tc>
          <w:tcPr>
            <w:tcW w:w="19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Best bid / ask spot</w:t>
            </w:r>
          </w:p>
        </w:tc>
        <w:tc>
          <w:tcPr>
            <w:tcW w:w="59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Calcul du mid spot et de la fair probability.</w:t>
            </w:r>
          </w:p>
        </w:tc>
      </w:tr>
      <w:tr>
        <w:tc>
          <w:tcPr>
            <w:tcW w:w="1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 / `A`</w:t>
            </w:r>
          </w:p>
        </w:tc>
        <w:tc>
          <w:tcPr>
            <w:tcW w:w="19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Quantités bid / ask</w:t>
            </w:r>
          </w:p>
        </w:tc>
        <w:tc>
          <w:tcPr>
            <w:tcW w:w="5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Filtre liquidité oracle ou signal qualité.</w:t>
            </w:r>
          </w:p>
        </w:tc>
      </w:tr>
      <w:tr>
        <w:tc>
          <w:tcPr>
            <w:tcW w:w="1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`u`</w:t>
            </w:r>
          </w:p>
        </w:tc>
        <w:tc>
          <w:tcPr>
            <w:tcW w:w="19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Update ID</w:t>
            </w:r>
          </w:p>
        </w:tc>
        <w:tc>
          <w:tcPr>
            <w:tcW w:w="59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Détection d’ordonnancement / monotonicité du flux.</w:t>
            </w:r>
          </w:p>
        </w:tc>
      </w:tr>
    </w:tbl>
    <w:p>
      <w:pPr>
        <w:pStyle w:val="Heading2"/>
        <w:keepNext/>
        <w:spacing w:before="120" w:after="120"/>
      </w:pPr>
      <w:r>
        <w:t>5.3 Schéma de base de données</w:t>
      </w:r>
    </w:p>
    <w:tbl>
      <w:tblPr>
        <w:tblW w:w="9026" w:type="dxa"/>
        <w:tblLayout w:type="fixed"/>
      </w:tblPr>
      <w:tblGrid>
        <w:gridCol w:w="1700"/>
        <w:gridCol w:w="3400"/>
        <w:gridCol w:w="3926"/>
      </w:tblGrid>
      <w:tr>
        <w:tc>
          <w:tcPr>
            <w:tcW w:w="17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Table</w:t>
            </w:r>
          </w:p>
        </w:tc>
        <w:tc>
          <w:tcPr>
            <w:tcW w:w="34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Colonnes clés</w:t>
            </w:r>
          </w:p>
        </w:tc>
        <w:tc>
          <w:tcPr>
            <w:tcW w:w="39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Rôle</w:t>
            </w:r>
          </w:p>
        </w:tc>
      </w:tr>
      <w:tr>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`top_of_book`</w:t>
            </w:r>
          </w:p>
        </w:tc>
        <w:tc>
          <w:tcPr>
            <w:tcW w:w="3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`market_id`, `token_id`, `best_bid`, `best_ask`, `mid_price`, `spread`, `observed_at`</w:t>
            </w:r>
          </w:p>
        </w:tc>
        <w:tc>
          <w:tcPr>
            <w:tcW w:w="3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Historique des meilleures limites par token.</w:t>
            </w:r>
          </w:p>
        </w:tc>
      </w:tr>
      <w:tr>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`bot_trades`</w:t>
            </w:r>
          </w:p>
        </w:tc>
        <w:tc>
          <w:tcPr>
            <w:tcW w:w="34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`id`, `market_id`, `market_title`, `outcome`, `side`, `price`, `size`, `notional`, `pnl_abs`, `pnl_pct`, `status`, `executed_at`</w:t>
            </w:r>
          </w:p>
        </w:tc>
        <w:tc>
          <w:tcPr>
            <w:tcW w:w="39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Journal des exécutions bot et de leur PnL.</w:t>
            </w:r>
          </w:p>
        </w:tc>
      </w:tr>
      <w:tr>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`portfolio_snapshots`</w:t>
            </w:r>
          </w:p>
        </w:tc>
        <w:tc>
          <w:tcPr>
            <w:tcW w:w="3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`total_equity`, `capital_in_trade`, `pnl_abs`, `pnl_pct`, `observed_at`</w:t>
            </w:r>
          </w:p>
        </w:tc>
        <w:tc>
          <w:tcPr>
            <w:tcW w:w="3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Séries de portefeuille utilisables pour analytics et contrôle drawdown.</w:t>
            </w:r>
          </w:p>
        </w:tc>
      </w:tr>
      <w:tr>
        <w:tc>
          <w:tcPr>
            <w:tcW w:w="17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`raw_websocket_messages`</w:t>
            </w:r>
          </w:p>
        </w:tc>
        <w:tc>
          <w:tcPr>
            <w:tcW w:w="34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`channel`, `market_id`, `payload`, `ingested_at`</w:t>
            </w:r>
          </w:p>
        </w:tc>
        <w:tc>
          <w:tcPr>
            <w:tcW w:w="39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Traçabilité brute pour replay et debug.</w:t>
            </w:r>
          </w:p>
        </w:tc>
      </w:tr>
      <w:tr>
        <w:tc>
          <w:tcPr>
            <w:tcW w:w="17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`trades`</w:t>
            </w:r>
          </w:p>
        </w:tc>
        <w:tc>
          <w:tcPr>
            <w:tcW w:w="3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`market_id`, `token_id`, `side`, `price`, `size`, `traded_at`</w:t>
            </w:r>
          </w:p>
        </w:tc>
        <w:tc>
          <w:tcPr>
            <w:tcW w:w="39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Backfill des trades CLOB bruts.</w:t>
            </w:r>
          </w:p>
        </w:tc>
      </w:tr>
    </w:tbl>
    <w:p>
      <w:pPr>
        <w:pStyle w:val="Heading2"/>
        <w:keepNext/>
        <w:spacing w:before="120" w:after="120"/>
      </w:pPr>
      <w:r>
        <w:t>5.4 Crons ARQ</w:t>
      </w:r>
    </w:p>
    <w:tbl>
      <w:tblPr>
        <w:tblW w:w="9026" w:type="dxa"/>
        <w:tblLayout w:type="fixed"/>
      </w:tblPr>
      <w:tblGrid>
        <w:gridCol w:w="2200"/>
        <w:gridCol w:w="2200"/>
        <w:gridCol w:w="4626"/>
      </w:tblGrid>
      <w:tr>
        <w:tc>
          <w:tcPr>
            <w:tcW w:w="22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Job</w:t>
            </w:r>
          </w:p>
        </w:tc>
        <w:tc>
          <w:tcPr>
            <w:tcW w:w="22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Fréquence</w:t>
            </w:r>
          </w:p>
        </w:tc>
        <w:tc>
          <w:tcPr>
            <w:tcW w:w="46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Description</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`sync_metadata_job`</w:t>
            </w:r>
          </w:p>
        </w:tc>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00:00 / 06:00 / 12:00 / 18:00</w:t>
            </w:r>
          </w:p>
        </w:tc>
        <w:tc>
          <w:tcPr>
            <w:tcW w:w="46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Synchronise événements et marchés depuis Gamma, remplace les tokens, stocke un snapshot brut.</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`refresh_recent_trades_job`</w:t>
            </w:r>
          </w:p>
        </w:tc>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Toutes les 15 minutes</w:t>
            </w:r>
          </w:p>
        </w:tc>
        <w:tc>
          <w:tcPr>
            <w:tcW w:w="46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Backfill les trades récents sur les 20 marchés actifs les plus visibles.</w:t>
            </w:r>
          </w:p>
        </w:tc>
      </w:tr>
    </w:tbl>
    <w:p>
      <w:r>
        <w:t>Le worker ARQ dépend de Redis et de la même couche SQLAlchemy que l’API. En exploitation, ces crons doivent être complétés par des jobs dédiés au replay, aux snapshots portefeuille et au contrôle de dérive entre runtime live et stockage persistant.</w:t>
      </w:r>
    </w:p>
    <w:p>
      <w:pPr>
        <w:pStyle w:val="Heading1"/>
        <w:keepNext/>
        <w:pageBreakBefore/>
        <w:spacing w:before="240" w:after="120"/>
      </w:pPr>
      <w:r>
        <w:t>6. Sécurité</w:t>
      </w:r>
    </w:p>
    <w:p>
      <w:r>
        <w:t>L’audit réseau du dépôt conclut à une architecture cohérente pour un MVP local mais insuffisamment durcie pour une exposition Internet. Les risques dominants sont l’absence d’auth forte par défaut, la publication de services de données, le TLS manquant et une gouvernance réseau encore permissive.</w:t>
      </w:r>
    </w:p>
    <w:tbl>
      <w:tblPr>
        <w:tblW w:w="9026" w:type="dxa"/>
        <w:tblLayout w:type="fixed"/>
      </w:tblPr>
      <w:tblGrid>
        <w:gridCol w:w="900"/>
        <w:gridCol w:w="3600"/>
        <w:gridCol w:w="4526"/>
      </w:tblGrid>
      <w:tr>
        <w:tc>
          <w:tcPr>
            <w:tcW w:w="9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Priorité</w:t>
            </w:r>
          </w:p>
        </w:tc>
        <w:tc>
          <w:tcPr>
            <w:tcW w:w="36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Actions</w:t>
            </w:r>
          </w:p>
        </w:tc>
        <w:tc>
          <w:tcPr>
            <w:tcW w:w="45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Justification</w:t>
            </w:r>
          </w:p>
        </w:tc>
      </w:tr>
      <w:tr>
        <w:tc>
          <w:tcPr>
            <w:tcW w:w="9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P0</w:t>
            </w:r>
          </w:p>
        </w:tc>
        <w:tc>
          <w:tcPr>
            <w:tcW w:w="3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Ne plus publier DB/Redis/ClickHouse vers l’hôte; imposer authn/authz sur REST sensibles et WS; placer le backend derrière un reverse proxy TLS; supprimer les credentials faibles par défaut.</w:t>
            </w:r>
          </w:p>
        </w:tc>
        <w:tc>
          <w:tcPr>
            <w:tcW w:w="45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Réduit immédiatement la surface d’attaque et le risque de prise de contrôle fonctionnelle.</w:t>
            </w:r>
          </w:p>
        </w:tc>
      </w:tr>
      <w:tr>
        <w:tc>
          <w:tcPr>
            <w:tcW w:w="9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P1</w:t>
            </w:r>
          </w:p>
        </w:tc>
        <w:tc>
          <w:tcPr>
            <w:tcW w:w="3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Ajouter retry exponentiel + jitter, timeouts explicites, allow-list egress, journalisation sécurité et métriques réseau.</w:t>
            </w:r>
          </w:p>
        </w:tc>
        <w:tc>
          <w:tcPr>
            <w:tcW w:w="45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Améliore la résilience aux incidents fournisseurs et l’observabilité.</w:t>
            </w:r>
          </w:p>
        </w:tc>
      </w:tr>
      <w:tr>
        <w:tc>
          <w:tcPr>
            <w:tcW w:w="9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P2</w:t>
            </w:r>
          </w:p>
        </w:tc>
        <w:tc>
          <w:tcPr>
            <w:tcW w:w="3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Segmenter les réseaux Docker, introduire un API gateway/WAF, déplacer les secrets vers un secret manager, automatiser scans SAST/DAST minimaux.</w:t>
            </w:r>
          </w:p>
        </w:tc>
        <w:tc>
          <w:tcPr>
            <w:tcW w:w="45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Durcissement production et réduction du blast radius.</w:t>
            </w:r>
          </w:p>
        </w:tc>
      </w:tr>
    </w:tbl>
    <w:tbl>
      <w:tblPr>
        <w:tblW w:w="9026" w:type="dxa"/>
        <w:tblLayout w:type="fixed"/>
      </w:tblPr>
      <w:tblGrid>
        <w:gridCol w:w="4200"/>
        <w:gridCol w:w="4826"/>
      </w:tblGrid>
      <w:tr>
        <w:tc>
          <w:tcPr>
            <w:tcW w:w="42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Checklist avant mise en production</w:t>
            </w:r>
          </w:p>
        </w:tc>
        <w:tc>
          <w:tcPr>
            <w:tcW w:w="48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État attendu</w:t>
            </w:r>
          </w:p>
        </w:tc>
      </w:tr>
      <w:tr>
        <w:tc>
          <w:tcPr>
            <w:tcW w:w="4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`API_AUTH_TOKEN` et `LIVE_WS_TOKEN` non vides</w:t>
            </w:r>
          </w:p>
        </w:tc>
        <w:tc>
          <w:tcPr>
            <w:tcW w:w="4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Obligatoire</w:t>
            </w:r>
          </w:p>
        </w:tc>
      </w:tr>
      <w:tr>
        <w:tc>
          <w:tcPr>
            <w:tcW w:w="4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`polymarket_trading_enabled=false` tant que la chaîne live n’est pas validée</w:t>
            </w:r>
          </w:p>
        </w:tc>
        <w:tc>
          <w:tcPr>
            <w:tcW w:w="4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Obligatoire</w:t>
            </w:r>
          </w:p>
        </w:tc>
      </w:tr>
      <w:tr>
        <w:tc>
          <w:tcPr>
            <w:tcW w:w="4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HTTPS/WSS via reverse proxy</w:t>
            </w:r>
          </w:p>
        </w:tc>
        <w:tc>
          <w:tcPr>
            <w:tcW w:w="4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Obligatoire</w:t>
            </w:r>
          </w:p>
        </w:tc>
      </w:tr>
      <w:tr>
        <w:tc>
          <w:tcPr>
            <w:tcW w:w="4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Ports PostgreSQL / Redis / ClickHouse non exposés publiquement</w:t>
            </w:r>
          </w:p>
        </w:tc>
        <w:tc>
          <w:tcPr>
            <w:tcW w:w="4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Obligatoire</w:t>
            </w:r>
          </w:p>
        </w:tc>
      </w:tr>
      <w:tr>
        <w:tc>
          <w:tcPr>
            <w:tcW w:w="4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Secrets Polymarket stockés hors dépôt</w:t>
            </w:r>
          </w:p>
        </w:tc>
        <w:tc>
          <w:tcPr>
            <w:tcW w:w="4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Obligatoire</w:t>
            </w:r>
          </w:p>
        </w:tc>
      </w:tr>
      <w:tr>
        <w:tc>
          <w:tcPr>
            <w:tcW w:w="4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Logs de sécurité et rate limiting vérifiés</w:t>
            </w:r>
          </w:p>
        </w:tc>
        <w:tc>
          <w:tcPr>
            <w:tcW w:w="4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Obligatoire</w:t>
            </w:r>
          </w:p>
        </w:tc>
      </w:tr>
      <w:tr>
        <w:tc>
          <w:tcPr>
            <w:tcW w:w="4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Tests routes live + smoke `/health` `/ready` `/api/v1/live-summary`</w:t>
            </w:r>
          </w:p>
        </w:tc>
        <w:tc>
          <w:tcPr>
            <w:tcW w:w="4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Obligatoire</w:t>
            </w:r>
          </w:p>
        </w:tc>
      </w:tr>
      <w:tr>
        <w:tc>
          <w:tcPr>
            <w:tcW w:w="4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Runbook halt drawdown/API documenté</w:t>
            </w:r>
          </w:p>
        </w:tc>
        <w:tc>
          <w:tcPr>
            <w:tcW w:w="4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Fortement recommandé</w:t>
            </w:r>
          </w:p>
        </w:tc>
      </w:tr>
    </w:tbl>
    <w:p>
      <w:r>
        <w:t>Le code applique déjà un rate limiter mémoire et des tokens optionnels; toutefois la sécurité reste majoritairement “opt-in”. Le mode `live` ne doit donc pas être considéré comme prêt production sans implémentation des P0 ci-dessus.</w:t>
      </w:r>
    </w:p>
    <w:p>
      <w:pPr>
        <w:pStyle w:val="Heading1"/>
        <w:keepNext/>
        <w:pageBreakBefore/>
        <w:spacing w:before="240" w:after="120"/>
      </w:pPr>
      <w:r>
        <w:t>7. Backtest</w:t>
      </w:r>
    </w:p>
    <w:p>
      <w:r>
        <w:t>Le script `backend/scripts/backtest.py` exécute un backtest analytique synthétique sur 2000 ticks générés via une marche aléatoire mean-reverting avec chocs de volatilité. Il pompe ces ticks dans `AdaptiveStrategyEngine`, ouvre un trade lorsqu’un signal est détecté, puis ferme sur disparition d’edge ou dépassement d’un horizon de 45 ticks.</w:t>
      </w:r>
    </w:p>
    <w:tbl>
      <w:tblPr>
        <w:tblW w:w="9026" w:type="dxa"/>
        <w:tblLayout w:type="fixed"/>
      </w:tblPr>
      <w:tblGrid>
        <w:gridCol w:w="2200"/>
        <w:gridCol w:w="6826"/>
      </w:tblGrid>
      <w:tr>
        <w:tc>
          <w:tcPr>
            <w:tcW w:w="22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Métrique</w:t>
            </w:r>
          </w:p>
        </w:tc>
        <w:tc>
          <w:tcPr>
            <w:tcW w:w="68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Description</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`Trades Executed`</w:t>
            </w:r>
          </w:p>
        </w:tc>
        <w:tc>
          <w:tcPr>
            <w:tcW w:w="6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Nombre total de trades simulés.</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`Winning Trades` / `Win Rate`</w:t>
            </w:r>
          </w:p>
        </w:tc>
        <w:tc>
          <w:tcPr>
            <w:tcW w:w="6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Trades positifs et pourcentage de réussite.</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`Average Holding Time`</w:t>
            </w:r>
          </w:p>
        </w:tc>
        <w:tc>
          <w:tcPr>
            <w:tcW w:w="6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Durée moyenne de détention en ticks.</w:t>
            </w:r>
          </w:p>
        </w:tc>
      </w:tr>
      <w:tr>
        <w:tc>
          <w:tcPr>
            <w:tcW w:w="22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`Profit Factor`</w:t>
            </w:r>
          </w:p>
        </w:tc>
        <w:tc>
          <w:tcPr>
            <w:tcW w:w="6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Rapport profits bruts / pertes brutes.</w:t>
            </w:r>
          </w:p>
        </w:tc>
      </w:tr>
      <w:tr>
        <w:tc>
          <w:tcPr>
            <w:tcW w:w="22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`Net PnL`</w:t>
            </w:r>
          </w:p>
        </w:tc>
        <w:tc>
          <w:tcPr>
            <w:tcW w:w="6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PnL total absolu du portefeuille simulé.</w:t>
            </w:r>
          </w:p>
        </w:tc>
      </w:tr>
    </w:tbl>
    <w:p>
      <w:r>
        <w:t>Limites majeures: données purement synthétiques, pas de replay d’order book réel, fermeture basée sur règles simplifiées, pas de carnet multi-niveaux, pas de coût réseau ni de queue priority, et dépendance à une seule série de marché. Le benchmark du repo signale explicitement que ce backtest ne doit pas créer de fausse confiance de production.</w:t>
      </w:r>
    </w:p>
    <w:p>
      <w:pPr>
        <w:pStyle w:val="Heading1"/>
        <w:keepNext/>
        <w:pageBreakBefore/>
        <w:spacing w:before="240" w:after="120"/>
      </w:pPr>
      <w:r>
        <w:t>8. Guide de déploiement</w:t>
      </w:r>
    </w:p>
    <w:p>
      <w:r>
        <w:t>Le chemin recommandé reste le démarrage via Docker Compose. L’installation manuelle reste utile pour le développement local, mais la séquence ci-dessous garde le worker, Redis et le frontend alignés avec l’API.</w:t>
      </w:r>
    </w:p>
    <w:tbl>
      <w:tblPr>
        <w:tblW w:w="9026" w:type="dxa"/>
        <w:tblLayout w:type="fixed"/>
      </w:tblPr>
      <w:tblGrid>
        <w:gridCol w:w="2500"/>
        <w:gridCol w:w="1600"/>
        <w:gridCol w:w="1100"/>
        <w:gridCol w:w="3826"/>
      </w:tblGrid>
      <w:tr>
        <w:tc>
          <w:tcPr>
            <w:tcW w:w="25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Variable</w:t>
            </w:r>
          </w:p>
        </w:tc>
        <w:tc>
          <w:tcPr>
            <w:tcW w:w="16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Portée</w:t>
            </w:r>
          </w:p>
        </w:tc>
        <w:tc>
          <w:tcPr>
            <w:tcW w:w="11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Obligatoire</w:t>
            </w:r>
          </w:p>
        </w:tc>
        <w:tc>
          <w:tcPr>
            <w:tcW w:w="38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Commentaire</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`POSTGRES_DSN`</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Backend</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Oui</w:t>
            </w:r>
          </w:p>
        </w:tc>
        <w:tc>
          <w:tcPr>
            <w:tcW w:w="3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Chaîne SQLAlchemy Async vers PostgreSQL ou SQLite dev.</w:t>
            </w:r>
          </w:p>
        </w:tc>
      </w:tr>
      <w:tr>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`REDIS_URL`</w:t>
            </w:r>
          </w:p>
        </w:tc>
        <w:tc>
          <w:tcPr>
            <w:tcW w:w="1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Backend / Worker</w:t>
            </w:r>
          </w:p>
        </w:tc>
        <w:tc>
          <w:tcPr>
            <w:tcW w:w="1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Oui</w:t>
            </w:r>
          </w:p>
        </w:tc>
        <w:tc>
          <w:tcPr>
            <w:tcW w:w="3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Queue ARQ et scheduling.</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`API_AUTH_TOKEN`</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Backend</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Recommandé</w:t>
            </w:r>
          </w:p>
        </w:tc>
        <w:tc>
          <w:tcPr>
            <w:tcW w:w="3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Protège `/bot/control`, `/strategy/config`, `/execute`, `/close`.</w:t>
            </w:r>
          </w:p>
        </w:tc>
      </w:tr>
      <w:tr>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`LIVE_WS_TOKEN`</w:t>
            </w:r>
          </w:p>
        </w:tc>
        <w:tc>
          <w:tcPr>
            <w:tcW w:w="1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Backend / Frontend</w:t>
            </w:r>
          </w:p>
        </w:tc>
        <w:tc>
          <w:tcPr>
            <w:tcW w:w="1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Recommandé</w:t>
            </w:r>
          </w:p>
        </w:tc>
        <w:tc>
          <w:tcPr>
            <w:tcW w:w="3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Protège `/ws/live`.</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`POLYMARKET_GAMMA_BASE_URL`</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Backend</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Oui</w:t>
            </w:r>
          </w:p>
        </w:tc>
        <w:tc>
          <w:tcPr>
            <w:tcW w:w="3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Source métadonnées marchés.</w:t>
            </w:r>
          </w:p>
        </w:tc>
      </w:tr>
      <w:tr>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`POLYMARKET_CLOB_REST_BASE_URL`</w:t>
            </w:r>
          </w:p>
        </w:tc>
        <w:tc>
          <w:tcPr>
            <w:tcW w:w="1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Backend</w:t>
            </w:r>
          </w:p>
        </w:tc>
        <w:tc>
          <w:tcPr>
            <w:tcW w:w="1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Oui</w:t>
            </w:r>
          </w:p>
        </w:tc>
        <w:tc>
          <w:tcPr>
            <w:tcW w:w="3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REST quotes / trades / ordres.</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`POLYMARKET_CLOB_WS_URL`</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Backend</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Oui</w:t>
            </w:r>
          </w:p>
        </w:tc>
        <w:tc>
          <w:tcPr>
            <w:tcW w:w="3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Flux temps réel marché.</w:t>
            </w:r>
          </w:p>
        </w:tc>
      </w:tr>
      <w:tr>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`POLYMARKET_TRADING_ENABLED`</w:t>
            </w:r>
          </w:p>
        </w:tc>
        <w:tc>
          <w:tcPr>
            <w:tcW w:w="1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Backend</w:t>
            </w:r>
          </w:p>
        </w:tc>
        <w:tc>
          <w:tcPr>
            <w:tcW w:w="1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Oui en live</w:t>
            </w:r>
          </w:p>
        </w:tc>
        <w:tc>
          <w:tcPr>
            <w:tcW w:w="3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Doit rester faux hors production contrôlée.</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`POLYMARKET_TRADING_MODE`</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Backend</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Oui en live</w:t>
            </w:r>
          </w:p>
        </w:tc>
        <w:tc>
          <w:tcPr>
            <w:tcW w:w="3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Valeurs attendues: `dry_run` ou `live`.</w:t>
            </w:r>
          </w:p>
        </w:tc>
      </w:tr>
      <w:tr>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`POLYMARKET_API_KEY/SECRET/PASSPHRASE`</w:t>
            </w:r>
          </w:p>
        </w:tc>
        <w:tc>
          <w:tcPr>
            <w:tcW w:w="1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Backend</w:t>
            </w:r>
          </w:p>
        </w:tc>
        <w:tc>
          <w:tcPr>
            <w:tcW w:w="1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Oui en live</w:t>
            </w:r>
          </w:p>
        </w:tc>
        <w:tc>
          <w:tcPr>
            <w:tcW w:w="3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Credentials d’exécution réelle.</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`NEXT_PUBLIC_API_BASE`</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Frontend</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Oui</w:t>
            </w:r>
          </w:p>
        </w:tc>
        <w:tc>
          <w:tcPr>
            <w:tcW w:w="3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Base URL API.</w:t>
            </w:r>
          </w:p>
        </w:tc>
      </w:tr>
      <w:tr>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`NEXT_PUBLIC_API_AUTH_TOKEN`</w:t>
            </w:r>
          </w:p>
        </w:tc>
        <w:tc>
          <w:tcPr>
            <w:tcW w:w="1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Frontend</w:t>
            </w:r>
          </w:p>
        </w:tc>
        <w:tc>
          <w:tcPr>
            <w:tcW w:w="1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Si API protégée</w:t>
            </w:r>
          </w:p>
        </w:tc>
        <w:tc>
          <w:tcPr>
            <w:tcW w:w="3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Injecte `x-api-token` côté UI.</w:t>
            </w:r>
          </w:p>
        </w:tc>
      </w:tr>
      <w:tr>
        <w:tc>
          <w:tcPr>
            <w:tcW w:w="25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`NEXT_PUBLIC_LIVE_WS_TOKEN`</w:t>
            </w:r>
          </w:p>
        </w:tc>
        <w:tc>
          <w:tcPr>
            <w:tcW w:w="16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Frontend</w:t>
            </w:r>
          </w:p>
        </w:tc>
        <w:tc>
          <w:tcPr>
            <w:tcW w:w="11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Si WS protégé</w:t>
            </w:r>
          </w:p>
        </w:tc>
        <w:tc>
          <w:tcPr>
            <w:tcW w:w="38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Ajouté au querystring du socket live.</w:t>
            </w:r>
          </w:p>
        </w:tc>
      </w:tr>
      <w:tr>
        <w:tc>
          <w:tcPr>
            <w:tcW w:w="25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`NEXT_PUBLIC_WALLETCONNECT_PROJECT_ID`</w:t>
            </w:r>
          </w:p>
        </w:tc>
        <w:tc>
          <w:tcPr>
            <w:tcW w:w="16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Frontend</w:t>
            </w:r>
          </w:p>
        </w:tc>
        <w:tc>
          <w:tcPr>
            <w:tcW w:w="11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Optionnel / recommandé</w:t>
            </w:r>
          </w:p>
        </w:tc>
        <w:tc>
          <w:tcPr>
            <w:tcW w:w="38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Le fallback `demo-project-id` ne doit pas être utilisé en prod.</w:t>
            </w:r>
          </w:p>
        </w:tc>
      </w:tr>
    </w:tbl>
    <w:tbl>
      <w:tblPr>
        <w:tblW w:w="9026" w:type="dxa"/>
        <w:tblLayout w:type="fixed"/>
      </w:tblPr>
      <w:tblGrid>
        <w:gridCol w:w="9026"/>
      </w:tblGrid>
      <w:tr>
        <w:tc>
          <w:tcPr>
            <w:tcW w:w="9026" w:type="dxa"/>
            <w:tcBorders>
              <w:top w:val="single" w:sz="6" w:color="E2E8F0"/>
              <w:left w:val="single" w:sz="6" w:color="E2E8F0"/>
              <w:bottom w:val="single" w:sz="6" w:color="E2E8F0"/>
              <w:right w:val="single" w:sz="6" w:color="E2E8F0"/>
            </w:tcBorders>
            <w:shd w:val="clear" w:fill="0B1220"/>
            <w:tcMar>
              <w:top w:w="90" w:type="dxa"/>
              <w:left w:w="120" w:type="dxa"/>
              <w:bottom w:w="90" w:type="dxa"/>
              <w:right w:w="120" w:type="dxa"/>
            </w:tcMar>
            <w:vAlign w:val="center"/>
          </w:tcPr>
          <w:p>
            <w:pPr>
              <w:pStyle w:val="CodeBlock"/>
            </w:pPr>
            <w:r>
              <w:rPr>
                <w:color w:val="E2E8F0"/>
                <w:sz w:val="19"/>
                <w:szCs w:val="19"/>
                <w:rFonts w:ascii="Consolas" w:hAnsi="Consolas" w:eastAsia="Consolas" w:cs="Consolas"/>
              </w:rPr>
              <w:t>Séquence de démarrage (Docker):</w:t>
            </w:r>
          </w:p>
          <w:p>
            <w:pPr>
              <w:pStyle w:val="CodeBlock"/>
            </w:pPr>
            <w:r>
              <w:rPr>
                <w:color w:val="E2E8F0"/>
                <w:sz w:val="19"/>
                <w:szCs w:val="19"/>
                <w:rFonts w:ascii="Consolas" w:hAnsi="Consolas" w:eastAsia="Consolas" w:cs="Consolas"/>
              </w:rPr>
              <w:t>1. cd backend</w:t>
            </w:r>
          </w:p>
          <w:p>
            <w:pPr>
              <w:pStyle w:val="CodeBlock"/>
            </w:pPr>
            <w:r>
              <w:rPr>
                <w:color w:val="E2E8F0"/>
                <w:sz w:val="19"/>
                <w:szCs w:val="19"/>
                <w:rFonts w:ascii="Consolas" w:hAnsi="Consolas" w:eastAsia="Consolas" w:cs="Consolas"/>
              </w:rPr>
              <w:t>2. cp .env.example .env</w:t>
            </w:r>
          </w:p>
          <w:p>
            <w:pPr>
              <w:pStyle w:val="CodeBlock"/>
            </w:pPr>
            <w:r>
              <w:rPr>
                <w:color w:val="E2E8F0"/>
                <w:sz w:val="19"/>
                <w:szCs w:val="19"/>
                <w:rFonts w:ascii="Consolas" w:hAnsi="Consolas" w:eastAsia="Consolas" w:cs="Consolas"/>
              </w:rPr>
              <w:t>3. docker compose up --build</w:t>
            </w:r>
          </w:p>
          <w:p>
            <w:pPr>
              <w:pStyle w:val="CodeBlock"/>
            </w:pPr>
            <w:r>
              <w:rPr>
                <w:color w:val="E2E8F0"/>
                <w:sz w:val="19"/>
                <w:szCs w:val="19"/>
                <w:rFonts w:ascii="Consolas" w:hAnsi="Consolas" w:eastAsia="Consolas" w:cs="Consolas"/>
              </w:rPr>
              <w:t>4. docker compose run --rm api alembic upgrade head</w:t>
            </w:r>
          </w:p>
          <w:p>
            <w:pPr>
              <w:pStyle w:val="CodeBlock"/>
            </w:pPr>
            <w:r>
              <w:rPr>
                <w:color w:val="E2E8F0"/>
                <w:sz w:val="19"/>
                <w:szCs w:val="19"/>
                <w:rFonts w:ascii="Consolas" w:hAnsi="Consolas" w:eastAsia="Consolas" w:cs="Consolas"/>
              </w:rPr>
              <w:t>5. Ouvrir:</w:t>
            </w:r>
          </w:p>
          <w:p>
            <w:pPr>
              <w:pStyle w:val="CodeBlock"/>
            </w:pPr>
            <w:r>
              <w:rPr>
                <w:color w:val="E2E8F0"/>
                <w:sz w:val="19"/>
                <w:szCs w:val="19"/>
                <w:rFonts w:ascii="Consolas" w:hAnsi="Consolas" w:eastAsia="Consolas" w:cs="Consolas"/>
              </w:rPr>
              <w:t xml:space="preserve">   - Frontend : http://localhost:3000</w:t>
            </w:r>
          </w:p>
          <w:p>
            <w:pPr>
              <w:pStyle w:val="CodeBlock"/>
            </w:pPr>
            <w:r>
              <w:rPr>
                <w:color w:val="E2E8F0"/>
                <w:sz w:val="19"/>
                <w:szCs w:val="19"/>
                <w:rFonts w:ascii="Consolas" w:hAnsi="Consolas" w:eastAsia="Consolas" w:cs="Consolas"/>
              </w:rPr>
              <w:t xml:space="preserve">   - API docs : http://localhost:8000/docs</w:t>
            </w:r>
          </w:p>
          <w:p>
            <w:pPr>
              <w:pStyle w:val="CodeBlock"/>
            </w:pPr>
            <w:r>
              <w:rPr>
                <w:color w:val="E2E8F0"/>
                <w:sz w:val="19"/>
                <w:szCs w:val="19"/>
                <w:rFonts w:ascii="Consolas" w:hAnsi="Consolas" w:eastAsia="Consolas" w:cs="Consolas"/>
              </w:rPr>
              <w:t xml:space="preserve"> </w:t>
            </w:r>
          </w:p>
          <w:p>
            <w:pPr>
              <w:pStyle w:val="CodeBlock"/>
            </w:pPr>
            <w:r>
              <w:rPr>
                <w:color w:val="E2E8F0"/>
                <w:sz w:val="19"/>
                <w:szCs w:val="19"/>
                <w:rFonts w:ascii="Consolas" w:hAnsi="Consolas" w:eastAsia="Consolas" w:cs="Consolas"/>
              </w:rPr>
              <w:t>Séquence manuelle:</w:t>
            </w:r>
          </w:p>
          <w:p>
            <w:pPr>
              <w:pStyle w:val="CodeBlock"/>
            </w:pPr>
            <w:r>
              <w:rPr>
                <w:color w:val="E2E8F0"/>
                <w:sz w:val="19"/>
                <w:szCs w:val="19"/>
                <w:rFonts w:ascii="Consolas" w:hAnsi="Consolas" w:eastAsia="Consolas" w:cs="Consolas"/>
              </w:rPr>
              <w:t>1. cd backend &amp;&amp; pip install -e .[dev]</w:t>
            </w:r>
          </w:p>
          <w:p>
            <w:pPr>
              <w:pStyle w:val="CodeBlock"/>
            </w:pPr>
            <w:r>
              <w:rPr>
                <w:color w:val="E2E8F0"/>
                <w:sz w:val="19"/>
                <w:szCs w:val="19"/>
                <w:rFonts w:ascii="Consolas" w:hAnsi="Consolas" w:eastAsia="Consolas" w:cs="Consolas"/>
              </w:rPr>
              <w:t>2. alembic upgrade head</w:t>
            </w:r>
          </w:p>
          <w:p>
            <w:pPr>
              <w:pStyle w:val="CodeBlock"/>
            </w:pPr>
            <w:r>
              <w:rPr>
                <w:color w:val="E2E8F0"/>
                <w:sz w:val="19"/>
                <w:szCs w:val="19"/>
                <w:rFonts w:ascii="Consolas" w:hAnsi="Consolas" w:eastAsia="Consolas" w:cs="Consolas"/>
              </w:rPr>
              <w:t>3. uvicorn app.main:app --reload --host 0.0.0.0 --port 8000</w:t>
            </w:r>
          </w:p>
          <w:p>
            <w:pPr>
              <w:pStyle w:val="CodeBlock"/>
            </w:pPr>
            <w:r>
              <w:rPr>
                <w:color w:val="E2E8F0"/>
                <w:sz w:val="19"/>
                <w:szCs w:val="19"/>
                <w:rFonts w:ascii="Consolas" w:hAnsi="Consolas" w:eastAsia="Consolas" w:cs="Consolas"/>
              </w:rPr>
              <w:t>4. cd frontend &amp;&amp; cp .env.local.example .env.local &amp;&amp; npm install &amp;&amp; npm run dev</w:t>
            </w:r>
          </w:p>
        </w:tc>
      </w:tr>
    </w:tbl>
    <w:tbl>
      <w:tblPr>
        <w:tblW w:w="9026" w:type="dxa"/>
        <w:tblLayout w:type="fixed"/>
      </w:tblPr>
      <w:tblGrid>
        <w:gridCol w:w="2400"/>
        <w:gridCol w:w="6626"/>
      </w:tblGrid>
      <w:tr>
        <w:tc>
          <w:tcPr>
            <w:tcW w:w="2400"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Healthcheck</w:t>
            </w:r>
          </w:p>
        </w:tc>
        <w:tc>
          <w:tcPr>
            <w:tcW w:w="6626" w:type="dxa"/>
            <w:tcBorders>
              <w:top w:val="single" w:sz="6" w:color="E2E8F0"/>
              <w:left w:val="single" w:sz="6" w:color="E2E8F0"/>
              <w:bottom w:val="single" w:sz="6" w:color="E2E8F0"/>
              <w:right w:val="single" w:sz="6" w:color="E2E8F0"/>
            </w:tcBorders>
            <w:shd w:val="clear" w:fill="0F172A"/>
            <w:tcMar>
              <w:top w:w="90" w:type="dxa"/>
              <w:left w:w="120" w:type="dxa"/>
              <w:bottom w:w="90" w:type="dxa"/>
              <w:right w:w="120" w:type="dxa"/>
            </w:tcMar>
            <w:vAlign w:val="center"/>
          </w:tcPr>
          <w:p>
            <w:pPr>
              <w:jc w:val="center"/>
            </w:pPr>
            <w:r>
              <w:rPr>
                <w:b/>
                <w:color w:val="F8FAFC"/>
              </w:rPr>
              <w:t>Résultat attendu</w:t>
            </w:r>
          </w:p>
        </w:tc>
      </w:tr>
      <w:tr>
        <w:tc>
          <w:tcPr>
            <w:tcW w:w="2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`GET /health`</w:t>
            </w:r>
          </w:p>
        </w:tc>
        <w:tc>
          <w:tcPr>
            <w:tcW w:w="66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`{"status": "ok"}`.</w:t>
            </w:r>
          </w:p>
        </w:tc>
      </w:tr>
      <w:tr>
        <w:tc>
          <w:tcPr>
            <w:tcW w:w="24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`GET /ready`</w:t>
            </w:r>
          </w:p>
        </w:tc>
        <w:tc>
          <w:tcPr>
            <w:tcW w:w="66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Accès DB valide, statut `ready`.</w:t>
            </w:r>
          </w:p>
        </w:tc>
      </w:tr>
      <w:tr>
        <w:tc>
          <w:tcPr>
            <w:tcW w:w="2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`GET /api/v1/live-summary`</w:t>
            </w:r>
          </w:p>
        </w:tc>
        <w:tc>
          <w:tcPr>
            <w:tcW w:w="66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Snapshot complet avec `risk_config`, `stats`, `markets`.</w:t>
            </w:r>
          </w:p>
        </w:tc>
      </w:tr>
      <w:tr>
        <w:tc>
          <w:tcPr>
            <w:tcW w:w="2400"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`WS /ws/live`</w:t>
            </w:r>
          </w:p>
        </w:tc>
        <w:tc>
          <w:tcPr>
            <w:tcW w:w="6626" w:type="dxa"/>
            <w:tcBorders>
              <w:top w:val="single" w:sz="6" w:color="E2E8F0"/>
              <w:left w:val="single" w:sz="6" w:color="E2E8F0"/>
              <w:bottom w:val="single" w:sz="6" w:color="E2E8F0"/>
              <w:right w:val="single" w:sz="6" w:color="E2E8F0"/>
            </w:tcBorders>
            <w:tcMar>
              <w:top w:w="90" w:type="dxa"/>
              <w:left w:w="120" w:type="dxa"/>
              <w:bottom w:w="90" w:type="dxa"/>
              <w:right w:w="120" w:type="dxa"/>
            </w:tcMar>
            <w:vAlign w:val="center"/>
          </w:tcPr>
          <w:p>
            <w:r>
              <w:rPr>
                <w:color w:val="111827"/>
              </w:rPr>
              <w:t>Réception immédiate d’un événement `bootstrap`.</w:t>
            </w:r>
          </w:p>
        </w:tc>
      </w:tr>
      <w:tr>
        <w:tc>
          <w:tcPr>
            <w:tcW w:w="2400"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Frontend dashboard</w:t>
            </w:r>
          </w:p>
        </w:tc>
        <w:tc>
          <w:tcPr>
            <w:tcW w:w="6626" w:type="dxa"/>
            <w:tcBorders>
              <w:top w:val="single" w:sz="6" w:color="E2E8F0"/>
              <w:left w:val="single" w:sz="6" w:color="E2E8F0"/>
              <w:bottom w:val="single" w:sz="6" w:color="E2E8F0"/>
              <w:right w:val="single" w:sz="6" w:color="E2E8F0"/>
            </w:tcBorders>
            <w:shd w:val="clear" w:fill="F8FAFC"/>
            <w:tcMar>
              <w:top w:w="90" w:type="dxa"/>
              <w:left w:w="120" w:type="dxa"/>
              <w:bottom w:w="90" w:type="dxa"/>
              <w:right w:w="120" w:type="dxa"/>
            </w:tcMar>
            <w:vAlign w:val="center"/>
          </w:tcPr>
          <w:p>
            <w:r>
              <w:rPr>
                <w:color w:val="111827"/>
              </w:rPr>
              <w:t>Chargement des KPI et reconnexion WS si coupure.</w:t>
            </w:r>
          </w:p>
        </w:tc>
      </w:tr>
    </w:tbl>
    <w:p>
      <w:r>
        <w:t>Critère go-live minimal: smoke backend, tests live routes, typecheck frontend, secret management, proxy TLS et validation du mode `dry_run` avant activation du mode `live`.</w:t>
      </w:r>
    </w:p>
    <w:sectPr>
      <w:footerReference w:type="default" r:id="rId3"/>
      <w:pgSz w:w="11906" w:h="16838"/>
      <w:pgMar w:top="1440" w:right="1440" w:bottom="1440" w:left="1440" w:header="720" w:footer="720" w:gutter="0"/>
      <w:cols w:space="720"/>
      <w:docGrid w:linePitch="360"/>
    </w:sectPr>
  </w:body>
</w:document>
</file>

<file path=word/footer1.xml><?xml version="1.0" encoding="utf-8"?>
<w:ftr xmlns:w="http://schemas.openxmlformats.org/wordprocessingml/2006/main">
  <w:p>
    <w:pPr>
      <w:jc w:val="center"/>
    </w:pPr>
    <w:r>
      <w:rPr>
        <w:color w:val="475569"/>
        <w:sz w:val="18"/>
        <w:szCs w:val="18"/>
      </w:rPr>
      <w:t>Poybot — Spécification Technique v1.0 | Page </w:t>
    </w:r>
    <w:fldSimple w:instr=" PAGE ">
      <w:r>
        <w:rPr>
          <w:color w:val="475569"/>
          <w:sz w:val="18"/>
          <w:szCs w:val="18"/>
        </w:rP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eastAsia="Calibri" w:cs="Calibri"/>
        <w:sz w:val="22"/>
        <w:szCs w:val="22"/>
        <w:color w:val="111827"/>
        <w:lang w:val="fr-FR"/>
      </w:rPr>
    </w:rPrDefault>
    <w:pPrDefault>
      <w:pPr>
        <w:spacing w:after="90" w:line="276" w:lineRule="auto"/>
      </w:pPr>
    </w:pPrDefault>
  </w:docDefaults>
  <w:latentStyles w:defLockedState="0" w:defUIPriority="99" w:defSemiHidden="0" w:defUnhideWhenUsed="0" w:defQFormat="0" w:count="276"/>
  <w:style w:type="paragraph" w:default="1" w:styleId="Normal">
    <w:name w:val="Normal"/>
    <w:qFormat/>
  </w:style>
  <w:style w:type="paragraph" w:styleId="Title">
    <w:name w:val="Title"/>
    <w:basedOn w:val="Normal"/>
    <w:qFormat/>
    <w:pPr>
      <w:spacing w:before="120" w:after="120"/>
      <w:jc w:val="center"/>
    </w:pPr>
    <w:rPr>
      <w:b/>
      <w:color w:val="0F172A"/>
      <w:sz w:val="36"/>
      <w:szCs w:val="36"/>
    </w:rPr>
  </w:style>
  <w:style w:type="paragraph" w:styleId="Subtitle">
    <w:name w:val="Subtitle"/>
    <w:basedOn w:val="Normal"/>
    <w:qFormat/>
    <w:pPr>
      <w:spacing w:after="120"/>
      <w:jc w:val="center"/>
    </w:pPr>
    <w:rPr>
      <w:color w:val="475569"/>
      <w:sz w:val="24"/>
      <w:szCs w:val="24"/>
    </w:rPr>
  </w:style>
  <w:style w:type="paragraph" w:styleId="Heading1">
    <w:name w:val="heading 1"/>
    <w:basedOn w:val="Normal"/>
    <w:next w:val="Normal"/>
    <w:qFormat/>
    <w:pPr>
      <w:keepNext/>
      <w:keepLines/>
      <w:spacing w:before="240" w:after="120"/>
    </w:pPr>
    <w:rPr>
      <w:b/>
      <w:color w:val="0F172A"/>
      <w:sz w:val="30"/>
      <w:szCs w:val="30"/>
    </w:rPr>
  </w:style>
  <w:style w:type="paragraph" w:styleId="Heading2">
    <w:name w:val="heading 2"/>
    <w:basedOn w:val="Normal"/>
    <w:next w:val="Normal"/>
    <w:qFormat/>
    <w:pPr>
      <w:keepNext/>
      <w:keepLines/>
      <w:spacing w:before="180" w:after="90"/>
    </w:pPr>
    <w:rPr>
      <w:b/>
      <w:color w:val="334155"/>
      <w:sz w:val="26"/>
      <w:szCs w:val="26"/>
    </w:rPr>
  </w:style>
  <w:style w:type="paragraph" w:styleId="Heading3">
    <w:name w:val="heading 3"/>
    <w:basedOn w:val="Normal"/>
    <w:next w:val="Normal"/>
    <w:qFormat/>
    <w:pPr>
      <w:keepNext/>
      <w:keepLines/>
      <w:spacing w:before="120" w:after="60"/>
    </w:pPr>
    <w:rPr>
      <w:b/>
      <w:color w:val="334155"/>
      <w:sz w:val="24"/>
      <w:szCs w:val="24"/>
    </w:rPr>
  </w:style>
  <w:style w:type="paragraph" w:styleId="TOCHeading">
    <w:name w:val="TOC Heading"/>
    <w:basedOn w:val="Normal"/>
    <w:qFormat/>
    <w:pPr>
      <w:spacing w:before="120" w:after="120"/>
    </w:pPr>
    <w:rPr>
      <w:b/>
      <w:color w:val="0F172A"/>
      <w:sz w:val="28"/>
      <w:szCs w:val="28"/>
    </w:rPr>
  </w:style>
  <w:style w:type="paragraph" w:styleId="CodeBlock">
    <w:name w:val="Code Block"/>
    <w:basedOn w:val="Normal"/>
    <w:pPr>
      <w:spacing w:before="0" w:after="0" w:line="240" w:lineRule="auto"/>
      <w:ind w:left="180"/>
    </w:pPr>
    <w:rPr>
      <w:rFonts w:ascii="Consolas" w:hAnsi="Consolas" w:eastAsia="Consolas" w:cs="Consolas"/>
      <w:color w:val="E2E8F0"/>
      <w:sz w:val="19"/>
      <w:szCs w:val="19"/>
    </w:rPr>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Codex OOXML Generator</Application>
  <DocSecurity>0</DocSecurity>
  <ScaleCrop>false</ScaleCrop>
  <HeadingPairs>
    <vt:vector size="2" baseType="variant">
      <vt:variant>
        <vt:lpstr>Title</vt:lpstr>
      </vt:variant>
      <vt:variant>
        <vt:i4>1</vt:i4>
      </vt:variant>
    </vt:vector>
  </HeadingPairs>
  <TitlesOfParts>
    <vt:vector size="1" baseType="lpstr">
      <vt:lpstr>Poybot Specification</vt:lpstr>
    </vt:vector>
  </TitlesOfParts>
  <Company>OpenAI</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Poybot — Spécification Technique v1.0</dc:title>
  <dc:creator>Codex</dc:creator>
  <cp:lastModifiedBy>Codex</cp:lastModifiedBy>
  <dcterms:created xsi:type="dcterms:W3CDTF">2026-03-23T13:15:54Z</dcterms:created>
  <dcterms:modified xsi:type="dcterms:W3CDTF">2026-03-23T13:15:54Z</dcterms:modified>
</cp:coreProperties>
</file>