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B96A05F" wp14:paraId="012C5406" wp14:textId="79CC5C0E">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nb-NO"/>
        </w:rPr>
      </w:pPr>
      <w:r w:rsidRPr="1B96A05F" w:rsidR="57FF569A">
        <w:rPr>
          <w:rFonts w:ascii="Aptos" w:hAnsi="Aptos" w:eastAsia="Aptos" w:cs="Aptos"/>
          <w:b w:val="1"/>
          <w:bCs w:val="1"/>
          <w:i w:val="0"/>
          <w:iCs w:val="0"/>
          <w:caps w:val="0"/>
          <w:smallCaps w:val="0"/>
          <w:noProof w:val="0"/>
          <w:color w:val="0F4761" w:themeColor="accent1" w:themeTint="FF" w:themeShade="BF"/>
          <w:sz w:val="48"/>
          <w:szCs w:val="48"/>
          <w:lang w:val="en-US"/>
        </w:rPr>
        <w:t>Task 1 Design Report</w:t>
      </w:r>
    </w:p>
    <w:p xmlns:wp14="http://schemas.microsoft.com/office/word/2010/wordml" w:rsidP="1B96A05F" wp14:paraId="30DDDDEF" wp14:textId="1A48FCD7">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nb-NO"/>
        </w:rPr>
      </w:pPr>
      <w:r w:rsidRPr="1B96A05F" w:rsidR="57FF569A">
        <w:rPr>
          <w:rFonts w:ascii="Aptos" w:hAnsi="Aptos" w:eastAsia="Aptos" w:cs="Aptos"/>
          <w:b w:val="1"/>
          <w:bCs w:val="1"/>
          <w:i w:val="0"/>
          <w:iCs w:val="0"/>
          <w:caps w:val="0"/>
          <w:smallCaps w:val="0"/>
          <w:noProof w:val="0"/>
          <w:color w:val="0F4761" w:themeColor="accent1" w:themeTint="FF" w:themeShade="BF"/>
          <w:sz w:val="36"/>
          <w:szCs w:val="36"/>
          <w:lang w:val="en-US"/>
        </w:rPr>
        <w:t>How Coding Hours Vary by Age Group and Coffee Dependence</w:t>
      </w:r>
    </w:p>
    <w:p xmlns:wp14="http://schemas.microsoft.com/office/word/2010/wordml" w:rsidP="1B96A05F" wp14:paraId="1873C02A" wp14:textId="13682F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 xml:space="preserve">The purpose of this static visualisation is to examine how a measurable behaviour, daily coding hours, varies across user groups defined by age range and self-reported ability to code without coffee. The CoffeeAndCode dataset records survey responses about coding habits and coffee-related behaviour. The guiding question for the design is: </w:t>
      </w:r>
      <w:r w:rsidRPr="1B96A05F" w:rsidR="57FF569A">
        <w:rPr>
          <w:rFonts w:ascii="Aptos" w:hAnsi="Aptos" w:eastAsia="Aptos" w:cs="Aptos"/>
          <w:b w:val="1"/>
          <w:bCs w:val="1"/>
          <w:i w:val="0"/>
          <w:iCs w:val="0"/>
          <w:caps w:val="0"/>
          <w:smallCaps w:val="0"/>
          <w:noProof w:val="0"/>
          <w:color w:val="000000" w:themeColor="text1" w:themeTint="FF" w:themeShade="FF"/>
          <w:sz w:val="24"/>
          <w:szCs w:val="24"/>
          <w:lang w:val="en-US"/>
        </w:rPr>
        <w:t>How do daily coding hours vary by age group and ability to code without coffee?</w:t>
      </w: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 xml:space="preserve"> This question was chosen because it connects a quantitative behaviour, CodingHours, with two categorical variables, AgeRange and CodingWithoutCoffee, allowing the visualisation to compare patterns across multiple groups rather than showing a simple two-variable relationship.</w:t>
      </w:r>
    </w:p>
    <w:p xmlns:wp14="http://schemas.microsoft.com/office/word/2010/wordml" w:rsidP="1B96A05F" wp14:paraId="55F95C6D" wp14:textId="502733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 xml:space="preserve">The final visualisation is a heatmap. AgeRange is placed on the x-axis in ordinal order, from Under 18 to 50 to 59, while CodingWithoutCoffee is placed on the y-axis using the response categories Yes, Sometimes, and No. The colour of each cell represents the average number of coding hours per day for that group. Each cell also includes a text label showing the average value and the number of respondents. For example, a label such as </w:t>
      </w:r>
      <w:r w:rsidRPr="1B96A05F" w:rsidR="57FF569A">
        <w:rPr>
          <w:rFonts w:ascii="Aptos" w:hAnsi="Aptos" w:eastAsia="Aptos" w:cs="Aptos"/>
          <w:b w:val="1"/>
          <w:bCs w:val="1"/>
          <w:i w:val="0"/>
          <w:iCs w:val="0"/>
          <w:caps w:val="0"/>
          <w:smallCaps w:val="0"/>
          <w:noProof w:val="0"/>
          <w:color w:val="000000" w:themeColor="text1" w:themeTint="FF" w:themeShade="FF"/>
          <w:sz w:val="24"/>
          <w:szCs w:val="24"/>
          <w:lang w:val="en-US"/>
        </w:rPr>
        <w:t>6.7h (34 resp.)</w:t>
      </w: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 xml:space="preserve"> means that respondents in that category combination reported an average of 6.7 coding hours per day, based on 34 responses.</w:t>
      </w:r>
    </w:p>
    <w:p xmlns:wp14="http://schemas.microsoft.com/office/word/2010/wordml" w:rsidP="1B96A05F" wp14:paraId="111AA136" wp14:textId="44F0ED6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The selected variables were chosen because they directly support the analytical question. CodingHours is the main measurable behaviour, while AgeRange provides a demographic grouping and CodingWithoutCoffee provides a coffee-related behavioural grouping. Other variables, such as CoffeeTime, CoffeeType, and CoffeeSolveBugs, were considered but not used in the final static chart. CoffeeTime and CoffeeType contain more fragmented categories, which would make a single static visualisation more crowded and less readable. CodingWithoutCoffee was therefore selected because it gives a clearer comparison between coding intensity and perceived coffee dependence.</w:t>
      </w:r>
    </w:p>
    <w:p xmlns:wp14="http://schemas.microsoft.com/office/word/2010/wordml" w:rsidP="1B96A05F" wp14:paraId="72EE96FA" wp14:textId="6D8932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A heatmap was selected because it is well suited to comparing one quantitative measure across two categorical dimensions. A grouped bar chart was considered, but it would require several bars within each age group and would make the comparison less compact. A box plot was also considered, but some category combinations contain very small numbers of respondents, making distribution-based comparisons less reliable. The heatmap gives each category combination one clearly defined cell, which reduces clutter while still showing the relationship between age, coffee dependence, and coding intensity.</w:t>
      </w:r>
    </w:p>
    <w:p xmlns:wp14="http://schemas.microsoft.com/office/word/2010/wordml" w:rsidP="1B96A05F" wp14:paraId="5F4151AC" wp14:textId="3210BE4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The visual encoding choices were made to support both quick interpretation and accurate reading. X-position encodes AgeRange, y-position encodes CodingWithoutCoffee, colour intensity encodes average CodingHours, and text labels provide exact values and sample sizes. Position is used for the categorical structure because it allows viewers to compare groups in a stable grid. Colour intensity is used for the quantitative measure because it allows higher and lower coding-hour averages to be noticed quickly. The colour bar explains the scale, while the cell labels prevent the reader from relying only on colour when making exact comparisons.</w:t>
      </w:r>
    </w:p>
    <w:p xmlns:wp14="http://schemas.microsoft.com/office/word/2010/wordml" w:rsidP="1B96A05F" wp14:paraId="1CBB6FB2" wp14:textId="7BDB8B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The design applies pre-attentive processing because colour differences can be noticed rapidly before the viewer reads the numbers. This helps the audience identify areas of higher and lower coding intensity efficiently. However, colour alone can be imprecise, so the exact average is written inside each cell. This improves clarity and accessibility, especially when two cells have similar colour values. The use of respondent counts also makes the chart more transparent because it shows whether an average is based on a large or small group.</w:t>
      </w:r>
    </w:p>
    <w:p xmlns:wp14="http://schemas.microsoft.com/office/word/2010/wordml" w:rsidP="1B96A05F" wp14:paraId="4B38AC1A" wp14:textId="4FA1C79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Gestalt principles were also used to improve readability. The grid structure uses proximity by grouping each age and coffee-dependence combination into a single cell. Similarity is created through consistent cell size, repeated label formatting, and a stable layout across the whole visual. The darker vertical separators between age groups make it easier to distinguish the x-axis categories, while the lighter horizontal separators separate the coffee-dependence responses without dominating the chart. This supports visual hierarchy: the data values remain the focus, while the grid helps guide the eye.</w:t>
      </w:r>
    </w:p>
    <w:p xmlns:wp14="http://schemas.microsoft.com/office/word/2010/wordml" w:rsidP="1B96A05F" wp14:paraId="67E469E5" wp14:textId="762A21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The visualisation suggests that the clearest patterns are found in the two largest age groups, 18 to 29 and 30 to 39. Among respondents aged 18 to 29, those who answered Yes to coding without coffee averaged 5.8 coding hours per day, while those who answered Sometimes averaged 6.7 hours, and those who answered No averaged 6.6 hours. This suggests that, within this age group, respondents who are less consistently able to code without coffee report slightly longer coding hours. Because these cells have relatively larger respondent counts, they are more reliable than the smaller categories.</w:t>
      </w:r>
    </w:p>
    <w:p xmlns:wp14="http://schemas.microsoft.com/office/word/2010/wordml" w:rsidP="1B96A05F" wp14:paraId="2106B680" wp14:textId="104B452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A similar pattern appears among respondents aged 30 to 39. The Yes group averaged 5.8 coding hours per day, the Sometimes group averaged 7.2 hours, and the No group averaged 8.0 hours. This indicates a possible association between longer coding hours and greater coffee dependence. However, the No group in this age range has only three respondents, so this value should be interpreted cautiously. The visual therefore communicates both the pattern and the uncertainty created by small group sizes.</w:t>
      </w:r>
    </w:p>
    <w:p xmlns:wp14="http://schemas.microsoft.com/office/word/2010/wordml" w:rsidP="1B96A05F" wp14:paraId="75D0B792" wp14:textId="45A6374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The smaller age groups should be interpreted with particular care. The Under 18 and 50 to 59 categories contain very few respondents, and some cells are based on only one response. These values are kept in the visual for transparency, but they should not be used to make strong claims about wider age-group behaviour. Including the number of respondents inside each cell helps prevent overinterpretation of these small groups.</w:t>
      </w:r>
    </w:p>
    <w:p xmlns:wp14="http://schemas.microsoft.com/office/word/2010/wordml" w:rsidP="1B96A05F" wp14:paraId="6D990728" wp14:textId="61B057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One limitation of the visualisation is that it shows association rather than causation. The chart cannot prove that coffee dependence causes longer coding hours. It only shows how reported coding hours vary between groups in this survey. Other factors, such as work status, study demands, programming experience, sleep, or personal routine, could also influence coding hours. Another limitation is that the dataset is relatively small and unevenly distributed across groups. This makes the heatmap useful for identifying patterns, but not for making broad generalisations about all coders.</w:t>
      </w:r>
    </w:p>
    <w:p xmlns:wp14="http://schemas.microsoft.com/office/word/2010/wordml" w:rsidP="1B96A05F" wp14:paraId="746E97EC" wp14:textId="096551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Overall, the heatmap provides a clear and compact answer to the research question. It meets the goal of a multi-variable static visualisation by combining one numerical measure with two categorical dimensions. The design uses position, colour intensity, text labels, and grid structure in a purposeful way, with each visual channel contributing to interpretation. The main insight is that the larger age groups show slightly higher coding hours among respondents who report being less able to code without coffee, although the result should be interpreted as an observed association rather than a causal effect.</w:t>
      </w:r>
    </w:p>
    <w:p xmlns:wp14="http://schemas.microsoft.com/office/word/2010/wordml" w:rsidP="1B96A05F" wp14:paraId="381D476C" wp14:textId="0A23361B">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nb-NO"/>
        </w:rPr>
      </w:pPr>
      <w:r w:rsidRPr="1B96A05F" w:rsidR="57FF569A">
        <w:rPr>
          <w:rFonts w:ascii="Aptos" w:hAnsi="Aptos" w:eastAsia="Aptos" w:cs="Aptos"/>
          <w:b w:val="1"/>
          <w:bCs w:val="1"/>
          <w:i w:val="0"/>
          <w:iCs w:val="0"/>
          <w:caps w:val="0"/>
          <w:smallCaps w:val="0"/>
          <w:noProof w:val="0"/>
          <w:color w:val="0F4761" w:themeColor="accent1" w:themeTint="FF" w:themeShade="BF"/>
          <w:sz w:val="48"/>
          <w:szCs w:val="48"/>
          <w:lang w:val="en-US"/>
        </w:rPr>
        <w:t>Figure caption</w:t>
      </w:r>
    </w:p>
    <w:p xmlns:wp14="http://schemas.microsoft.com/office/word/2010/wordml" w:rsidP="1B96A05F" wp14:paraId="3721BC81" wp14:textId="2B65E97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57FF569A">
        <w:drawing>
          <wp:inline xmlns:wp14="http://schemas.microsoft.com/office/word/2010/wordprocessingDrawing" wp14:editId="47A18E97" wp14:anchorId="0A359833">
            <wp:extent cx="5724525" cy="2676525"/>
            <wp:effectExtent l="0" t="0" r="0" b="0"/>
            <wp:docPr id="1037081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081408" name="Picture 1037081408"/>
                    <pic:cNvPicPr/>
                  </pic:nvPicPr>
                  <pic:blipFill>
                    <a:blip xmlns:r="http://schemas.openxmlformats.org/officeDocument/2006/relationships" r:embed="rId1058130679">
                      <a:extLst>
                        <a:ext uri="{28A0092B-C50C-407E-A947-70E740481C1C}">
                          <a14:useLocalDpi xmlns:a14="http://schemas.microsoft.com/office/drawing/2010/main"/>
                        </a:ext>
                      </a:extLst>
                    </a:blip>
                    <a:stretch>
                      <a:fillRect/>
                    </a:stretch>
                  </pic:blipFill>
                  <pic:spPr>
                    <a:xfrm>
                      <a:off x="0" y="0"/>
                      <a:ext cx="5724525" cy="2676525"/>
                    </a:xfrm>
                    <a:prstGeom prst="rect">
                      <a:avLst/>
                    </a:prstGeom>
                  </pic:spPr>
                </pic:pic>
              </a:graphicData>
            </a:graphic>
          </wp:inline>
        </w:drawing>
      </w:r>
    </w:p>
    <w:p xmlns:wp14="http://schemas.microsoft.com/office/word/2010/wordml" w:rsidP="1B96A05F" wp14:paraId="292266B9" wp14:textId="4D8381A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1"/>
          <w:bCs w:val="1"/>
          <w:i w:val="0"/>
          <w:iCs w:val="0"/>
          <w:caps w:val="0"/>
          <w:smallCaps w:val="0"/>
          <w:noProof w:val="0"/>
          <w:color w:val="000000" w:themeColor="text1" w:themeTint="FF" w:themeShade="FF"/>
          <w:sz w:val="24"/>
          <w:szCs w:val="24"/>
          <w:lang w:val="en-US"/>
        </w:rPr>
        <w:t>Figure 1.</w:t>
      </w: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 xml:space="preserve"> Heatmap showing average daily coding hours by age range and ability to code without coffee. Cell colour represents average coding hours, while each label shows the average and the number of respondents in that group. Dark vertical separators distinguish age groups, and lighter horizontal separators distinguish coffee-dependence responses. Empty cells indicate that no responses were recorded for that category combination.</w:t>
      </w:r>
    </w:p>
    <w:p xmlns:wp14="http://schemas.microsoft.com/office/word/2010/wordml" w:rsidP="1B96A05F" wp14:paraId="5376D563" wp14:textId="798BF0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p>
    <w:p xmlns:wp14="http://schemas.microsoft.com/office/word/2010/wordml" w:rsidP="1B96A05F" wp14:paraId="605BB513" wp14:textId="2D75DF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p>
    <w:p xmlns:wp14="http://schemas.microsoft.com/office/word/2010/wordml" w:rsidP="1B96A05F" wp14:paraId="7AD5E1C1" wp14:textId="11699F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p>
    <w:p xmlns:wp14="http://schemas.microsoft.com/office/word/2010/wordml" w:rsidP="1B96A05F" wp14:paraId="3470018A" wp14:textId="25BFD2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p>
    <w:p xmlns:wp14="http://schemas.microsoft.com/office/word/2010/wordml" w:rsidP="1B96A05F" wp14:paraId="78FCA30E" wp14:textId="6682ED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p>
    <w:p xmlns:wp14="http://schemas.microsoft.com/office/word/2010/wordml" w:rsidP="1B96A05F" wp14:paraId="0E7FCAE6" wp14:textId="394024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p>
    <w:p xmlns:wp14="http://schemas.microsoft.com/office/word/2010/wordml" w:rsidP="1B96A05F" wp14:paraId="76D47170" wp14:textId="10BD4D05">
      <w:pPr>
        <w:rPr>
          <w:rFonts w:ascii="Aptos" w:hAnsi="Aptos" w:eastAsia="Aptos" w:cs="Aptos"/>
          <w:b w:val="0"/>
          <w:bCs w:val="0"/>
          <w:i w:val="0"/>
          <w:iCs w:val="0"/>
          <w:caps w:val="0"/>
          <w:smallCaps w:val="0"/>
          <w:noProof w:val="0"/>
          <w:color w:val="000000" w:themeColor="text1" w:themeTint="FF" w:themeShade="FF"/>
          <w:sz w:val="24"/>
          <w:szCs w:val="24"/>
          <w:lang w:val="nb-NO"/>
        </w:rPr>
      </w:pPr>
    </w:p>
    <w:p xmlns:wp14="http://schemas.microsoft.com/office/word/2010/wordml" w:rsidP="1B96A05F" wp14:paraId="1633F3DE" wp14:textId="39E12BD7">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nb-NO"/>
        </w:rPr>
      </w:pPr>
      <w:r w:rsidRPr="1B96A05F" w:rsidR="57FF569A">
        <w:rPr>
          <w:rFonts w:ascii="Aptos" w:hAnsi="Aptos" w:eastAsia="Aptos" w:cs="Aptos"/>
          <w:b w:val="1"/>
          <w:bCs w:val="1"/>
          <w:i w:val="0"/>
          <w:iCs w:val="0"/>
          <w:caps w:val="0"/>
          <w:smallCaps w:val="0"/>
          <w:noProof w:val="0"/>
          <w:color w:val="0F4761" w:themeColor="accent1" w:themeTint="FF" w:themeShade="BF"/>
          <w:sz w:val="48"/>
          <w:szCs w:val="48"/>
          <w:lang w:val="en-US"/>
        </w:rPr>
        <w:t>Separate Data Cleaning Section</w:t>
      </w:r>
    </w:p>
    <w:p xmlns:wp14="http://schemas.microsoft.com/office/word/2010/wordml" w:rsidP="1B96A05F" wp14:paraId="038C8ED3" wp14:textId="6180593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nb-NO"/>
        </w:rPr>
      </w:pPr>
      <w:r w:rsidRPr="1B96A05F" w:rsidR="57FF569A">
        <w:rPr>
          <w:rFonts w:ascii="Aptos" w:hAnsi="Aptos" w:eastAsia="Aptos" w:cs="Aptos"/>
          <w:b w:val="1"/>
          <w:bCs w:val="1"/>
          <w:i w:val="0"/>
          <w:iCs w:val="0"/>
          <w:caps w:val="0"/>
          <w:smallCaps w:val="0"/>
          <w:noProof w:val="0"/>
          <w:color w:val="0F4761" w:themeColor="accent1" w:themeTint="FF" w:themeShade="BF"/>
          <w:sz w:val="36"/>
          <w:szCs w:val="36"/>
          <w:lang w:val="en-US"/>
        </w:rPr>
        <w:t>Data Cleaning Notes</w:t>
      </w:r>
    </w:p>
    <w:p xmlns:wp14="http://schemas.microsoft.com/office/word/2010/wordml" w:rsidP="1B96A05F" wp14:paraId="00F790D7" wp14:textId="3F0ACA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The CoffeeAndCode dataset originally contained 100 rows. The variable CodingHours was converted to numeric format to ensure that average coding hours could be calculated correctly. Rows with missing CodingHours values would be removed, although no rows were removed for this reason. Coding-hour values were checked against the expected range of 0 to 12 hours, and no rows were removed for being outside this range.</w:t>
      </w:r>
    </w:p>
    <w:p xmlns:wp14="http://schemas.microsoft.com/office/word/2010/wordml" w:rsidP="1B96A05F" wp14:paraId="10B16437" wp14:textId="2496EC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Missing or unclear values in AgeRange were treated as “Not stated.” Two rows were removed because age was not stated. This decision was made because the visualisation focuses specifically on comparison between meaningful age groups, and “Not stated” is not an interpretable age category. The CodingWithoutCoffee variable was checked against the expected categories: Yes, Sometimes, and No. No rows were removed for invalid values in this column.</w:t>
      </w:r>
    </w:p>
    <w:p xmlns:wp14="http://schemas.microsoft.com/office/word/2010/wordml" w:rsidP="1B96A05F" wp14:paraId="6E97883A" wp14:textId="35308EB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nb-NO"/>
        </w:rPr>
      </w:pPr>
      <w:r w:rsidRPr="1B96A05F" w:rsidR="57FF569A">
        <w:rPr>
          <w:rFonts w:ascii="Aptos" w:hAnsi="Aptos" w:eastAsia="Aptos" w:cs="Aptos"/>
          <w:b w:val="0"/>
          <w:bCs w:val="0"/>
          <w:i w:val="0"/>
          <w:iCs w:val="0"/>
          <w:caps w:val="0"/>
          <w:smallCaps w:val="0"/>
          <w:noProof w:val="0"/>
          <w:color w:val="000000" w:themeColor="text1" w:themeTint="FF" w:themeShade="FF"/>
          <w:sz w:val="24"/>
          <w:szCs w:val="24"/>
          <w:lang w:val="en-US"/>
        </w:rPr>
        <w:t>After cleaning, 98 rows were used in the final visualisation. The data was then grouped by AgeRange and CodingWithoutCoffee. For each group, the average of CodingHours was calculated, along with the number of respondents. These grouped values were used to create the final heatmap.</w:t>
      </w:r>
    </w:p>
    <w:p xmlns:wp14="http://schemas.microsoft.com/office/word/2010/wordml" w:rsidP="1B96A05F" wp14:paraId="06C02828" wp14:textId="774E5588">
      <w:pPr>
        <w:rPr>
          <w:rFonts w:ascii="Aptos" w:hAnsi="Aptos" w:eastAsia="Aptos" w:cs="Aptos"/>
          <w:b w:val="0"/>
          <w:bCs w:val="0"/>
          <w:i w:val="0"/>
          <w:iCs w:val="0"/>
          <w:caps w:val="0"/>
          <w:smallCaps w:val="0"/>
          <w:noProof w:val="0"/>
          <w:color w:val="000000" w:themeColor="text1" w:themeTint="FF" w:themeShade="FF"/>
          <w:sz w:val="24"/>
          <w:szCs w:val="24"/>
          <w:lang w:val="nb-NO"/>
        </w:rPr>
      </w:pPr>
    </w:p>
    <w:p xmlns:wp14="http://schemas.microsoft.com/office/word/2010/wordml" wp14:paraId="104E3129" wp14:textId="724C6FF6"/>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92AFA2"/>
    <w:rsid w:val="1B96A05F"/>
    <w:rsid w:val="4392AFA2"/>
    <w:rsid w:val="57FF569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E28B4"/>
  <w15:chartTrackingRefBased/>
  <w15:docId w15:val="{C2F36203-A556-4639-9A94-68CF688598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B96A05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B96A05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581306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2026-05-12T02:17:46.4990391Z</dcterms:created>
  <dcterms:modified xsi:type="dcterms:W3CDTF">2026-05-12T02:18:26.7845784Z</dcterms:modified>
  <dc:creator>Finn Martin Kinstad</dc:creator>
  <lastModifiedBy>Finn Martin Kinstad</lastModifiedBy>
</coreProperties>
</file>