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Guide du participant : Coaching d'entrepreneurs</w:t>
      </w:r>
    </w:p>
    <w:p>
      <w:r>
        <w:t xml:space="preserve">Business Builders International - Pôle Coaching</w:t>
      </w:r>
    </w:p>
    <w:p>
      <w:r>
        <w:t xml:space="preserve"/>
      </w:r>
    </w:p>
    <w:p>
      <w:r>
        <w:t xml:space="preserve">Ce guide accompagne les six séances du parcours. Gardez-le à portée de main.</w:t>
      </w:r>
    </w:p>
    <w:p>
      <w:r>
        <w:t xml:space="preserve"/>
      </w:r>
    </w:p>
    <w:p>
      <w:r>
        <w:t xml:space="preserve">Séance 1 : clarifier sa vision et ses priorités.</w:t>
      </w:r>
    </w:p>
    <w:p>
      <w:r>
        <w:t xml:space="preserve">Séance 2 : structurer son offre et son modèle économique.</w:t>
      </w:r>
    </w:p>
    <w:p>
      <w:r>
        <w:t xml:space="preserve">Séance 3 : organiser son temps de dirigeant.</w:t>
      </w:r>
    </w:p>
    <w:p>
      <w:r>
        <w:t xml:space="preserve">Séance 4 : développer son reseau et ses partenariats.</w:t>
      </w:r>
    </w:p>
    <w:p>
      <w:r>
        <w:t xml:space="preserve">Séance 5 : piloter ses chiffres clés.</w:t>
      </w:r>
    </w:p>
    <w:p>
      <w:r>
        <w:t xml:space="preserve">Séance 6 : plan d'action a 90 jours.</w:t>
      </w:r>
    </w:p>
    <w:p>
      <w:r>
        <w:t xml:space="preserve"/>
      </w:r>
    </w:p>
    <w:p>
      <w:r>
        <w:t xml:space="preserve">Document de démonstration produit par Business Builders International.</w:t>
      </w:r>
    </w:p>
    <w:sectPr>
      <w:pgSz w:w="11906" w:h="16838"/>
      <w:pgMar w:top="1417" w:right="1417" w:bottom="1417" w:left="1417" w:header="708" w:footer="708" w:gutter="0"/>
    </w:sectPr>
  </w:body>
</w:document>
</file>