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single" w:color="D21419" w:sz="24"/>
              <w:right w:val="none" w:color="FFFFFF" w:sz="0"/>
            </w:tcBorders>
            <w:shd w:fill="0E265C" w:color="auto" w:val="clear"/>
            <w:tcMar>
              <w:top w:type="dxa" w:w="360"/>
              <w:left w:type="dxa" w:w="360"/>
              <w:bottom w:type="dxa" w:w="320"/>
              <w:right w:type="dxa" w:w="360"/>
            </w:tcMar>
          </w:tcPr>
          <w:p>
            <w:pPr>
              <w:spacing w:after="80"/>
            </w:pPr>
            <w:r>
              <w:rPr>
                <w:rFonts w:ascii="Calibri" w:cs="Calibri" w:eastAsia="Calibri" w:hAnsi="Calibri"/>
                <w:b/>
                <w:bCs/>
                <w:color w:val="F4B6B8"/>
                <w:sz w:val="20"/>
                <w:szCs w:val="20"/>
              </w:rPr>
              <w:t xml:space="preserve">BUSINESS BUILDERS INTERNATIONAL</w:t>
            </w:r>
          </w:p>
          <w:p>
            <w:pPr>
              <w:spacing w:after="100"/>
            </w:pPr>
            <w:r>
              <w:rPr>
                <w:rFonts w:ascii="Calibri" w:cs="Calibri" w:eastAsia="Calibri" w:hAnsi="Calibri"/>
                <w:b/>
                <w:bCs/>
                <w:color w:val="FFFFFF"/>
                <w:sz w:val="56"/>
                <w:szCs w:val="56"/>
              </w:rPr>
              <w:t xml:space="preserve">Agenda de projet</w:t>
            </w:r>
          </w:p>
          <w:p>
            <w:pPr>
              <w:spacing w:after="160"/>
            </w:pPr>
            <w:r>
              <w:rPr>
                <w:rFonts w:ascii="Calibri" w:cs="Calibri" w:eastAsia="Calibri" w:hAnsi="Calibri"/>
                <w:color w:val="FFFFFF"/>
                <w:sz w:val="28"/>
                <w:szCs w:val="28"/>
              </w:rPr>
              <w:t xml:space="preserve">Portail intranet, sites des filiales et listes de contenus</w:t>
            </w:r>
          </w:p>
          <w:p>
            <w:pPr>
              <w:spacing w:after="0"/>
            </w:pPr>
            <w:r>
              <w:rPr>
                <w:rFonts w:ascii="Calibri" w:cs="Calibri" w:eastAsia="Calibri" w:hAnsi="Calibri"/>
                <w:color w:val="D6E0F5"/>
                <w:sz w:val="20"/>
                <w:szCs w:val="20"/>
              </w:rPr>
              <w:t xml:space="preserve">Version 1.0  ·  9 octobre 2026  ·  Durée : 4 semaines, du 12 octobre au 6 novembre 2026</w:t>
            </w:r>
          </w:p>
        </w:tc>
      </w:tr>
    </w:tbl>
    <w:p>
      <w:pPr>
        <w:pStyle w:val="Heading1"/>
        <w:keepNext/>
        <w:pBdr>
          <w:bottom w:val="single" w:color="D21419" w:sz="8" w:space="4"/>
        </w:pBdr>
        <w:spacing w:after="140" w:before="320"/>
      </w:pPr>
      <w:r>
        <w:rPr>
          <w:rFonts w:ascii="Calibri" w:cs="Calibri" w:eastAsia="Calibri" w:hAnsi="Calibri"/>
          <w:b/>
          <w:bCs/>
          <w:color w:val="0E265C"/>
          <w:sz w:val="30"/>
          <w:szCs w:val="30"/>
        </w:rPr>
        <w:t xml:space="preserve">1. Objectif et cadre</w:t>
      </w:r>
    </w:p>
    <w:p>
      <w:pPr>
        <w:spacing w:after="100" w:before="0" w:line="280"/>
      </w:pPr>
      <w:r>
        <w:rPr>
          <w:rFonts w:ascii="Calibri" w:cs="Calibri" w:eastAsia="Calibri" w:hAnsi="Calibri"/>
          <w:sz w:val="21"/>
          <w:szCs w:val="21"/>
        </w:rPr>
        <w:t xml:space="preserve">Ce document présente le calendrier de mise en place du portail intranet de Business Builders International (BBI), de ses sites filiales et de ses listes de contenus. Le projet est réalisé en un mois, avec une mise en ligne prévue le vendredi 6 novembre 2026.</w:t>
      </w:r>
    </w:p>
    <w:p>
      <w:pPr>
        <w:spacing w:after="100" w:before="0" w:line="280"/>
      </w:pPr>
      <w:r>
        <w:rPr>
          <w:rFonts w:ascii="Calibri" w:cs="Calibri" w:eastAsia="Calibri" w:hAnsi="Calibri"/>
          <w:sz w:val="21"/>
          <w:szCs w:val="21"/>
        </w:rPr>
        <w:t xml:space="preserve">Suite à la présentation du portail, BBI a demandé de rééquilibrer son contenu : la formation ne représente qu’environ 20 % de l’activité, le reste relevant du conseil et du coaching. Le portail met donc en avant les trois pôles de l’offre de BBI, au service du renforcement de capacités : Formation, Conseil et Coaching.</w:t>
      </w:r>
    </w:p>
    <w:p>
      <w:pPr>
        <w:pStyle w:val="Heading2"/>
        <w:keepNext/>
        <w:spacing w:after="80" w:before="200"/>
      </w:pPr>
      <w:r>
        <w:rPr>
          <w:rFonts w:ascii="Calibri" w:cs="Calibri" w:eastAsia="Calibri" w:hAnsi="Calibri"/>
          <w:b/>
          <w:bCs/>
          <w:color w:val="0E265C"/>
          <w:sz w:val="24"/>
          <w:szCs w:val="24"/>
        </w:rPr>
        <w:t xml:space="preserve">Point de départ</w:t>
      </w:r>
    </w:p>
    <w:p>
      <w:pPr>
        <w:pStyle w:val="ListParagraph"/>
        <w:numPr>
          <w:ilvl w:val="0"/>
          <w:numId w:val="2"/>
        </w:numPr>
        <w:spacing w:after="60" w:line="276"/>
      </w:pPr>
      <w:r>
        <w:rPr>
          <w:rFonts w:ascii="Calibri" w:cs="Calibri" w:eastAsia="Calibri" w:hAnsi="Calibri"/>
          <w:sz w:val="21"/>
          <w:szCs w:val="21"/>
        </w:rPr>
        <w:t xml:space="preserve">Le portail existant (Accueil, Formations, Sessions, Actualités, Ressources, Communauté) est déjà réalisé et installé en environnement de test.</w:t>
      </w:r>
    </w:p>
    <w:p>
      <w:pPr>
        <w:pStyle w:val="ListParagraph"/>
        <w:numPr>
          <w:ilvl w:val="0"/>
          <w:numId w:val="2"/>
        </w:numPr>
        <w:spacing w:after="60" w:line="276"/>
      </w:pPr>
      <w:r>
        <w:rPr>
          <w:rFonts w:ascii="Calibri" w:cs="Calibri" w:eastAsia="Calibri" w:hAnsi="Calibri"/>
          <w:sz w:val="21"/>
          <w:szCs w:val="21"/>
        </w:rPr>
        <w:t xml:space="preserve">Reste à faire : le repositionnement sur trois pôles, la création définitive du site principal, des sites des filiales et des listes, puis la recette et la mise en ligne.</w:t>
      </w:r>
    </w:p>
    <w:p>
      <w:pPr>
        <w:pStyle w:val="ListParagraph"/>
        <w:numPr>
          <w:ilvl w:val="0"/>
          <w:numId w:val="2"/>
        </w:numPr>
        <w:spacing w:after="60" w:line="276"/>
      </w:pPr>
      <w:r>
        <w:rPr>
          <w:rFonts w:ascii="Calibri" w:cs="Calibri" w:eastAsia="Calibri" w:hAnsi="Calibri"/>
          <w:sz w:val="21"/>
          <w:szCs w:val="21"/>
        </w:rPr>
        <w:t xml:space="preserve">Le catalogue d’offres par pôle (nouvelle liste « Offres ») n’est pas encore construit : il fait partie du calendrier ci-dessous.</w:t>
      </w:r>
    </w:p>
    <w:p>
      <w:pPr>
        <w:pStyle w:val="Heading1"/>
        <w:keepNext/>
        <w:pBdr>
          <w:bottom w:val="single" w:color="D21419" w:sz="8" w:space="4"/>
        </w:pBdr>
        <w:spacing w:after="140" w:before="320"/>
      </w:pPr>
      <w:r>
        <w:rPr>
          <w:rFonts w:ascii="Calibri" w:cs="Calibri" w:eastAsia="Calibri" w:hAnsi="Calibri"/>
          <w:b/>
          <w:bCs/>
          <w:color w:val="0E265C"/>
          <w:sz w:val="30"/>
          <w:szCs w:val="30"/>
        </w:rPr>
        <w:t xml:space="preserve">2. Calendrier semaine par semaine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3900"/>
        <w:gridCol w:w="2988"/>
      </w:tblGrid>
      <w:tr>
        <w:trPr>
          <w:cantSplit/>
          <w:tblHeader/>
        </w:trPr>
        <w:tc>
          <w:tcPr>
            <w:tcW w:type="dxa" w:w="125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Semaine</w:t>
            </w:r>
          </w:p>
        </w:tc>
        <w:tc>
          <w:tcPr>
            <w:tcW w:type="dxa" w:w="15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Dates</w:t>
            </w:r>
          </w:p>
        </w:tc>
        <w:tc>
          <w:tcPr>
            <w:tcW w:type="dxa" w:w="39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Objectifs</w:t>
            </w:r>
          </w:p>
        </w:tc>
        <w:tc>
          <w:tcPr>
            <w:tcW w:type="dxa" w:w="2988"/>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Livrables clés</w:t>
            </w:r>
          </w:p>
        </w:tc>
      </w:tr>
      <w:tr>
        <w:trPr>
          <w:cantSplit/>
        </w:trPr>
        <w:tc>
          <w:tcPr>
            <w:tcW w:type="dxa" w:w="125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Semaine 1</w:t>
            </w:r>
          </w:p>
        </w:tc>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12 au 16 octobre</w:t>
            </w:r>
          </w:p>
        </w:tc>
        <w:tc>
          <w:tcPr>
            <w:tcW w:type="dxa" w:w="39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Cadrage, validation des textes, site principal, création des listes et bibliothèques, liste « Offres » incluse.</w:t>
            </w:r>
          </w:p>
        </w:tc>
        <w:tc>
          <w:tcPr>
            <w:tcW w:type="dxa" w:w="298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Textes validés, site principal opérationnel, 15 listes et bibliothèques créées.</w:t>
            </w:r>
          </w:p>
        </w:tc>
      </w:tr>
      <w:tr>
        <w:trPr>
          <w:cantSplit/>
        </w:trPr>
        <w:tc>
          <w:tcPr>
            <w:tcW w:type="dxa" w:w="125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Semaine 2</w:t>
            </w:r>
          </w:p>
        </w:tc>
        <w:tc>
          <w:tcPr>
            <w:tcW w:type="dxa" w:w="15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19 au 23 octobre</w:t>
            </w:r>
          </w:p>
        </w:tc>
        <w:tc>
          <w:tcPr>
            <w:tcW w:type="dxa" w:w="39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Développement du catalogue d’offres par pôle, du bandeau des trois pôles et de « Sessions &amp; missions ». Création des sites des filiales.</w:t>
            </w:r>
          </w:p>
        </w:tc>
        <w:tc>
          <w:tcPr>
            <w:tcW w:type="dxa" w:w="298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Démonstration du portail, sites des filiales rattachés au site principal.</w:t>
            </w:r>
          </w:p>
        </w:tc>
      </w:tr>
      <w:tr>
        <w:trPr>
          <w:cantSplit/>
        </w:trPr>
        <w:tc>
          <w:tcPr>
            <w:tcW w:type="dxa" w:w="125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Semaine 3</w:t>
            </w:r>
          </w:p>
        </w:tc>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26 au 30 octobre</w:t>
            </w:r>
          </w:p>
        </w:tc>
        <w:tc>
          <w:tcPr>
            <w:tcW w:type="dxa" w:w="39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Intégration des contenus réels, navigation commune, droits et permissions, version de recette.</w:t>
            </w:r>
          </w:p>
        </w:tc>
        <w:tc>
          <w:tcPr>
            <w:tcW w:type="dxa" w:w="298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Version de recette complète avec les contenus de BBI.</w:t>
            </w:r>
          </w:p>
        </w:tc>
      </w:tr>
      <w:tr>
        <w:trPr>
          <w:cantSplit/>
        </w:trPr>
        <w:tc>
          <w:tcPr>
            <w:tcW w:type="dxa" w:w="125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Semaine 4</w:t>
            </w:r>
          </w:p>
        </w:tc>
        <w:tc>
          <w:tcPr>
            <w:tcW w:type="dxa" w:w="15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2 au 6 novembre</w:t>
            </w:r>
          </w:p>
        </w:tc>
        <w:tc>
          <w:tcPr>
            <w:tcW w:type="dxa" w:w="39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Recette par BBI, corrections, formation des administrateurs de contenu, mise en ligne.</w:t>
            </w:r>
          </w:p>
        </w:tc>
        <w:tc>
          <w:tcPr>
            <w:tcW w:type="dxa" w:w="298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Procès-verbal de recette, guide de prise en main, portail en production.</w:t>
            </w:r>
          </w:p>
        </w:tc>
      </w:tr>
    </w:tbl>
    <w:p>
      <w:pPr>
        <w:pStyle w:val="Heading2"/>
        <w:keepNext/>
        <w:spacing w:after="80" w:before="200"/>
      </w:pPr>
      <w:r>
        <w:rPr>
          <w:rFonts w:ascii="Calibri" w:cs="Calibri" w:eastAsia="Calibri" w:hAnsi="Calibri"/>
          <w:b/>
          <w:bCs/>
          <w:color w:val="0E265C"/>
          <w:sz w:val="24"/>
          <w:szCs w:val="24"/>
        </w:rPr>
        <w:t xml:space="preserve">Vue d’ensemble des chantiers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1675"/>
        <w:gridCol w:w="1675"/>
        <w:gridCol w:w="1675"/>
        <w:gridCol w:w="1675"/>
      </w:tblGrid>
      <w:tr>
        <w:trPr>
          <w:cantSplit/>
          <w:tblHeader/>
        </w:trPr>
        <w:tc>
          <w:tcPr>
            <w:tcW w:type="dxa" w:w="2938"/>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Chantier</w:t>
            </w:r>
          </w:p>
        </w:tc>
        <w:tc>
          <w:tcPr>
            <w:tcW w:type="dxa" w:w="1675"/>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S1 · 12 au 16 oct.</w:t>
            </w:r>
          </w:p>
        </w:tc>
        <w:tc>
          <w:tcPr>
            <w:tcW w:type="dxa" w:w="1675"/>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S2 · 19 au 23 oct.</w:t>
            </w:r>
          </w:p>
        </w:tc>
        <w:tc>
          <w:tcPr>
            <w:tcW w:type="dxa" w:w="1675"/>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S3 · 26 au 30 oct.</w:t>
            </w:r>
          </w:p>
        </w:tc>
        <w:tc>
          <w:tcPr>
            <w:tcW w:type="dxa" w:w="1675"/>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S4 · 2 au 6 nov.</w:t>
            </w:r>
          </w:p>
        </w:tc>
      </w:tr>
      <w:tr>
        <w:trPr>
          <w:cantSplit/>
        </w:trPr>
        <w:tc>
          <w:tcPr>
            <w:tcW w:type="dxa" w:w="2938"/>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pPr>
            <w:r>
              <w:rPr>
                <w:rFonts w:ascii="Calibri" w:cs="Calibri" w:eastAsia="Calibri" w:hAnsi="Calibri"/>
                <w:b/>
                <w:bCs/>
                <w:sz w:val="17"/>
                <w:szCs w:val="17"/>
              </w:rPr>
              <w:t xml:space="preserve">1. Cadrage et textes</w:t>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Cadrage, textes</w:t>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r>
      <w:tr>
        <w:trPr>
          <w:cantSplit/>
        </w:trPr>
        <w:tc>
          <w:tcPr>
            <w:tcW w:type="dxa" w:w="2938"/>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pPr>
            <w:r>
              <w:rPr>
                <w:rFonts w:ascii="Calibri" w:cs="Calibri" w:eastAsia="Calibri" w:hAnsi="Calibri"/>
                <w:b/>
                <w:bCs/>
                <w:sz w:val="17"/>
                <w:szCs w:val="17"/>
              </w:rPr>
              <w:t xml:space="preserve">2. Site principal</w:t>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Configuration</w:t>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r>
      <w:tr>
        <w:trPr>
          <w:cantSplit/>
        </w:trPr>
        <w:tc>
          <w:tcPr>
            <w:tcW w:type="dxa" w:w="2938"/>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pPr>
            <w:r>
              <w:rPr>
                <w:rFonts w:ascii="Calibri" w:cs="Calibri" w:eastAsia="Calibri" w:hAnsi="Calibri"/>
                <w:b/>
                <w:bCs/>
                <w:sz w:val="17"/>
                <w:szCs w:val="17"/>
              </w:rPr>
              <w:t xml:space="preserve">3. Sites des filiales</w:t>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Création</w:t>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Navigation commune</w:t>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r>
      <w:tr>
        <w:trPr>
          <w:cantSplit/>
        </w:trPr>
        <w:tc>
          <w:tcPr>
            <w:tcW w:type="dxa" w:w="2938"/>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pPr>
            <w:r>
              <w:rPr>
                <w:rFonts w:ascii="Calibri" w:cs="Calibri" w:eastAsia="Calibri" w:hAnsi="Calibri"/>
                <w:b/>
                <w:bCs/>
                <w:sz w:val="17"/>
                <w:szCs w:val="17"/>
              </w:rPr>
              <w:t xml:space="preserve">4. Listes et bibliothèques</w:t>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Création</w:t>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Contenus d’exemple</w:t>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Contenus réels</w:t>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r>
      <w:tr>
        <w:trPr>
          <w:cantSplit/>
        </w:trPr>
        <w:tc>
          <w:tcPr>
            <w:tcW w:type="dxa" w:w="2938"/>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pPr>
            <w:r>
              <w:rPr>
                <w:rFonts w:ascii="Calibri" w:cs="Calibri" w:eastAsia="Calibri" w:hAnsi="Calibri"/>
                <w:b/>
                <w:bCs/>
                <w:sz w:val="17"/>
                <w:szCs w:val="17"/>
              </w:rPr>
              <w:t xml:space="preserve">5. Développement et déploiement</w:t>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Développement, installation</w:t>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Version de recette</w:t>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r>
      <w:tr>
        <w:trPr>
          <w:cantSplit/>
        </w:trPr>
        <w:tc>
          <w:tcPr>
            <w:tcW w:type="dxa" w:w="2938"/>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pPr>
            <w:r>
              <w:rPr>
                <w:rFonts w:ascii="Calibri" w:cs="Calibri" w:eastAsia="Calibri" w:hAnsi="Calibri"/>
                <w:b/>
                <w:bCs/>
                <w:sz w:val="17"/>
                <w:szCs w:val="17"/>
              </w:rPr>
              <w:t xml:space="preserve">6. Recette, droits, permissions</w:t>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Droits et permissions</w:t>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Recette et corrections</w:t>
            </w:r>
          </w:p>
        </w:tc>
      </w:tr>
      <w:tr>
        <w:trPr>
          <w:cantSplit/>
        </w:trPr>
        <w:tc>
          <w:tcPr>
            <w:tcW w:type="dxa" w:w="2938"/>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pPr>
            <w:r>
              <w:rPr>
                <w:rFonts w:ascii="Calibri" w:cs="Calibri" w:eastAsia="Calibri" w:hAnsi="Calibri"/>
                <w:b/>
                <w:bCs/>
                <w:sz w:val="17"/>
                <w:szCs w:val="17"/>
              </w:rPr>
              <w:t xml:space="preserve">7. Formation et mise en ligne</w:t>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c>
          <w:tcPr>
            <w:tcW w:type="dxa" w:w="1675"/>
            <w:tcBorders>
              <w:top w:val="single" w:color="C9D1E0" w:sz="4"/>
              <w:left w:val="single" w:color="C9D1E0" w:sz="4"/>
              <w:bottom w:val="single" w:color="C9D1E0" w:sz="4"/>
              <w:right w:val="single" w:color="C9D1E0" w:sz="4"/>
            </w:tcBorders>
            <w:tcMar>
              <w:top w:type="dxa" w:w="70"/>
              <w:left w:type="dxa" w:w="100"/>
              <w:bottom w:type="dxa" w:w="70"/>
              <w:right w:type="dxa" w:w="100"/>
            </w:tcMar>
            <w:vAlign w:val="center"/>
          </w:tcPr>
          <w:p>
            <w:pPr>
              <w:spacing w:after="30" w:line="250"/>
              <w:jc w:val="center"/>
            </w:pPr>
            <w:r>
              <w:rPr>
                <w:rFonts w:ascii="Calibri" w:cs="Calibri" w:eastAsia="Calibri" w:hAnsi="Calibri"/>
                <w:b w:val="false"/>
                <w:bCs w:val="false"/>
                <w:sz w:val="16"/>
                <w:szCs w:val="16"/>
              </w:rPr>
              <w:t xml:space="preserve"/>
            </w:r>
          </w:p>
        </w:tc>
        <w:tc>
          <w:tcPr>
            <w:tcW w:type="dxa" w:w="1675"/>
            <w:tcBorders>
              <w:top w:val="single" w:color="C9D1E0" w:sz="4"/>
              <w:left w:val="single" w:color="C9D1E0" w:sz="4"/>
              <w:bottom w:val="single" w:color="C9D1E0" w:sz="4"/>
              <w:right w:val="single" w:color="C9D1E0" w:sz="4"/>
            </w:tcBorders>
            <w:shd w:fill="D6E0F5" w:color="auto" w:val="clear"/>
            <w:tcMar>
              <w:top w:type="dxa" w:w="70"/>
              <w:left w:type="dxa" w:w="100"/>
              <w:bottom w:type="dxa" w:w="70"/>
              <w:right w:type="dxa" w:w="100"/>
            </w:tcMar>
            <w:vAlign w:val="center"/>
          </w:tcPr>
          <w:p>
            <w:pPr>
              <w:spacing w:after="30" w:line="250"/>
              <w:jc w:val="center"/>
            </w:pPr>
            <w:r>
              <w:rPr>
                <w:rFonts w:ascii="Calibri" w:cs="Calibri" w:eastAsia="Calibri" w:hAnsi="Calibri"/>
                <w:b/>
                <w:bCs/>
                <w:color w:val="0E265C"/>
                <w:sz w:val="16"/>
                <w:szCs w:val="16"/>
              </w:rPr>
              <w:t xml:space="preserve">Formation, mise en ligne</w:t>
            </w:r>
          </w:p>
        </w:tc>
      </w:tr>
      <w:tr>
        <w:trPr>
          <w:cantSplit/>
        </w:trPr>
        <w:tc>
          <w:tcPr>
            <w:tcW w:type="dxa" w:w="29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7"/>
                <w:szCs w:val="17"/>
              </w:rPr>
              <w:t xml:space="preserve">Jalons</w:t>
            </w:r>
          </w:p>
        </w:tc>
        <w:tc>
          <w:tcPr>
            <w:tcW w:type="dxa" w:w="1675"/>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jc w:val="center"/>
            </w:pPr>
            <w:r>
              <w:rPr>
                <w:rFonts w:ascii="Calibri" w:cs="Calibri" w:eastAsia="Calibri" w:hAnsi="Calibri"/>
                <w:b/>
                <w:bCs/>
                <w:color w:val="D21419"/>
                <w:sz w:val="16"/>
                <w:szCs w:val="16"/>
              </w:rPr>
              <w:t xml:space="preserve">◆ ven. 16 oct.</w:t>
            </w:r>
          </w:p>
        </w:tc>
        <w:tc>
          <w:tcPr>
            <w:tcW w:type="dxa" w:w="1675"/>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jc w:val="center"/>
            </w:pPr>
            <w:r>
              <w:rPr>
                <w:rFonts w:ascii="Calibri" w:cs="Calibri" w:eastAsia="Calibri" w:hAnsi="Calibri"/>
                <w:b/>
                <w:bCs/>
                <w:color w:val="D21419"/>
                <w:sz w:val="16"/>
                <w:szCs w:val="16"/>
              </w:rPr>
              <w:t xml:space="preserve">◆ ven. 23 oct.</w:t>
            </w:r>
          </w:p>
        </w:tc>
        <w:tc>
          <w:tcPr>
            <w:tcW w:type="dxa" w:w="1675"/>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jc w:val="center"/>
            </w:pPr>
            <w:r>
              <w:rPr>
                <w:rFonts w:ascii="Calibri" w:cs="Calibri" w:eastAsia="Calibri" w:hAnsi="Calibri"/>
                <w:b/>
                <w:bCs/>
                <w:color w:val="D21419"/>
                <w:sz w:val="16"/>
                <w:szCs w:val="16"/>
              </w:rPr>
              <w:t xml:space="preserve">◆ ven. 30 oct.</w:t>
            </w:r>
          </w:p>
        </w:tc>
        <w:tc>
          <w:tcPr>
            <w:tcW w:type="dxa" w:w="1675"/>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jc w:val="center"/>
            </w:pPr>
            <w:r>
              <w:rPr>
                <w:rFonts w:ascii="Calibri" w:cs="Calibri" w:eastAsia="Calibri" w:hAnsi="Calibri"/>
                <w:b/>
                <w:bCs/>
                <w:color w:val="D21419"/>
                <w:sz w:val="16"/>
                <w:szCs w:val="16"/>
              </w:rPr>
              <w:t xml:space="preserve">◆ jeu. 5 et ven. 6 nov.</w:t>
            </w:r>
          </w:p>
        </w:tc>
      </w:tr>
    </w:tbl>
    <w:p>
      <w:pPr>
        <w:pStyle w:val="Heading1"/>
        <w:keepNext/>
        <w:pBdr>
          <w:bottom w:val="single" w:color="D21419" w:sz="8" w:space="4"/>
        </w:pBdr>
        <w:spacing w:after="140" w:before="320"/>
      </w:pPr>
      <w:r>
        <w:rPr>
          <w:rFonts w:ascii="Calibri" w:cs="Calibri" w:eastAsia="Calibri" w:hAnsi="Calibri"/>
          <w:b/>
          <w:bCs/>
          <w:color w:val="0E265C"/>
          <w:sz w:val="30"/>
          <w:szCs w:val="30"/>
        </w:rPr>
        <w:t xml:space="preserve">3. Détail de la première semaine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038"/>
        <w:gridCol w:w="2100"/>
      </w:tblGrid>
      <w:tr>
        <w:trPr>
          <w:cantSplit/>
          <w:tblHeader/>
        </w:trPr>
        <w:tc>
          <w:tcPr>
            <w:tcW w:type="dxa" w:w="15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Jour</w:t>
            </w:r>
          </w:p>
        </w:tc>
        <w:tc>
          <w:tcPr>
            <w:tcW w:type="dxa" w:w="6038"/>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Activités</w:t>
            </w:r>
          </w:p>
        </w:tc>
        <w:tc>
          <w:tcPr>
            <w:tcW w:type="dxa" w:w="21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Responsable</w:t>
            </w:r>
          </w:p>
        </w:tc>
      </w:tr>
      <w:tr>
        <w:trPr>
          <w:cantSplit/>
        </w:trPr>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Lundi 12 oct.</w:t>
            </w:r>
          </w:p>
        </w:tc>
        <w:tc>
          <w:tcPr>
            <w:tcW w:type="dxa" w:w="60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Lancement du projet. Confirmation du périmètre (trois pôles). Demande des accès administrateur SharePoint.</w:t>
            </w:r>
          </w:p>
        </w:tc>
        <w:tc>
          <w:tcPr>
            <w:tcW w:type="dxa" w:w="21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BBI et prestataire</w:t>
            </w:r>
          </w:p>
        </w:tc>
      </w:tr>
      <w:tr>
        <w:trPr>
          <w:cantSplit/>
        </w:trPr>
        <w:tc>
          <w:tcPr>
            <w:tcW w:type="dxa" w:w="15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Mardi 13 oct.</w:t>
            </w:r>
          </w:p>
        </w:tc>
        <w:tc>
          <w:tcPr>
            <w:tcW w:type="dxa" w:w="60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Envoi des textes proposés : vision, mission, objectifs, bandeau d’accueil, chiffres clés. Vérification des accès.</w:t>
            </w:r>
          </w:p>
        </w:tc>
        <w:tc>
          <w:tcPr>
            <w:tcW w:type="dxa" w:w="21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Prestataire</w:t>
            </w:r>
          </w:p>
        </w:tc>
      </w:tr>
      <w:tr>
        <w:trPr>
          <w:cantSplit/>
        </w:trPr>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Mercredi 14 oct.</w:t>
            </w:r>
          </w:p>
        </w:tc>
        <w:tc>
          <w:tcPr>
            <w:tcW w:type="dxa" w:w="60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Configuration du site principal (site pivot du réseau, groupe de concepteurs, droits de base). Création des listes et bibliothèques.</w:t>
            </w:r>
          </w:p>
        </w:tc>
        <w:tc>
          <w:tcPr>
            <w:tcW w:type="dxa" w:w="21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Prestataire</w:t>
            </w:r>
          </w:p>
        </w:tc>
      </w:tr>
      <w:tr>
        <w:trPr>
          <w:cantSplit/>
        </w:trPr>
        <w:tc>
          <w:tcPr>
            <w:tcW w:type="dxa" w:w="15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Jeudi 15 oct.</w:t>
            </w:r>
          </w:p>
        </w:tc>
        <w:tc>
          <w:tcPr>
            <w:tcW w:type="dxa" w:w="60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Création de la liste « Offres » et de ses vues. Chargement des contenus d’exemple. Validation des textes par BBI.</w:t>
            </w:r>
          </w:p>
        </w:tc>
        <w:tc>
          <w:tcPr>
            <w:tcW w:type="dxa" w:w="21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Prestataire, validation BBI</w:t>
            </w:r>
          </w:p>
        </w:tc>
      </w:tr>
      <w:tr>
        <w:trPr>
          <w:cantSplit/>
        </w:trPr>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Vendredi 16 oct.</w:t>
            </w:r>
          </w:p>
        </w:tc>
        <w:tc>
          <w:tcPr>
            <w:tcW w:type="dxa" w:w="60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Point de fin de semaine : démonstration du site principal et des listes. Confirmation de la liste des filiales et de leurs responsables.</w:t>
            </w:r>
          </w:p>
        </w:tc>
        <w:tc>
          <w:tcPr>
            <w:tcW w:type="dxa" w:w="21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BBI et prestataire</w:t>
            </w:r>
          </w:p>
        </w:tc>
      </w:tr>
    </w:tbl>
    <w:p>
      <w:pPr>
        <w:pStyle w:val="Heading1"/>
        <w:keepNext/>
        <w:pBdr>
          <w:bottom w:val="single" w:color="D21419" w:sz="8" w:space="4"/>
        </w:pBdr>
        <w:spacing w:after="140" w:before="320"/>
      </w:pPr>
      <w:r>
        <w:rPr>
          <w:rFonts w:ascii="Calibri" w:cs="Calibri" w:eastAsia="Calibri" w:hAnsi="Calibri"/>
          <w:b/>
          <w:bCs/>
          <w:color w:val="0E265C"/>
          <w:sz w:val="30"/>
          <w:szCs w:val="30"/>
        </w:rPr>
        <w:t xml:space="preserve">4. Chantiers, responsables et validations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650"/>
        <w:gridCol w:w="1250"/>
        <w:gridCol w:w="1600"/>
        <w:gridCol w:w="1438"/>
      </w:tblGrid>
      <w:tr>
        <w:trPr>
          <w:cantSplit/>
          <w:tblHeader/>
        </w:trPr>
        <w:tc>
          <w:tcPr>
            <w:tcW w:type="dxa" w:w="17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Chantier</w:t>
            </w:r>
          </w:p>
        </w:tc>
        <w:tc>
          <w:tcPr>
            <w:tcW w:type="dxa" w:w="365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Tâches</w:t>
            </w:r>
          </w:p>
        </w:tc>
        <w:tc>
          <w:tcPr>
            <w:tcW w:type="dxa" w:w="125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Responsable</w:t>
            </w:r>
          </w:p>
        </w:tc>
        <w:tc>
          <w:tcPr>
            <w:tcW w:type="dxa" w:w="16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Livrable</w:t>
            </w:r>
          </w:p>
        </w:tc>
        <w:tc>
          <w:tcPr>
            <w:tcW w:type="dxa" w:w="1438"/>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Validation</w:t>
            </w:r>
          </w:p>
        </w:tc>
      </w:tr>
      <w:tr>
        <w:trPr>
          <w:cantSplit/>
        </w:trPr>
        <w:tc>
          <w:tcPr>
            <w:tcW w:type="dxa" w:w="1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1. Cadrage et repositionnement</w:t>
            </w:r>
          </w:p>
        </w:tc>
        <w:tc>
          <w:tcPr>
            <w:tcW w:type="dxa" w:w="365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Atelier de cadrage. Reformulation autour du renforcement de capacités (Formation, Conseil, Coaching). Rédaction des textes : vision, mission, objectifs, bandeau d’accueil, chiffres clés.</w:t>
            </w:r>
          </w:p>
        </w:tc>
        <w:tc>
          <w:tcPr>
            <w:tcW w:type="dxa" w:w="125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Conjoint</w:t>
            </w:r>
          </w:p>
        </w:tc>
        <w:tc>
          <w:tcPr>
            <w:tcW w:type="dxa" w:w="16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Textes validés</w:t>
            </w:r>
          </w:p>
        </w:tc>
        <w:tc>
          <w:tcPr>
            <w:tcW w:type="dxa" w:w="14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Direction BBI, jeu. 15 oct.</w:t>
            </w:r>
          </w:p>
        </w:tc>
      </w:tr>
      <w:tr>
        <w:trPr>
          <w:cantSplit/>
        </w:trPr>
        <w:tc>
          <w:tcPr>
            <w:tcW w:type="dxa" w:w="17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2. Site principal</w:t>
            </w:r>
          </w:p>
        </w:tc>
        <w:tc>
          <w:tcPr>
            <w:tcW w:type="dxa" w:w="365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Configuration de l’intranet du siège comme site pivot du réseau (hub). Groupe de concepteurs, page d’accueil du portail, droits de base.</w:t>
            </w:r>
          </w:p>
        </w:tc>
        <w:tc>
          <w:tcPr>
            <w:tcW w:type="dxa" w:w="125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Prestataire</w:t>
            </w:r>
          </w:p>
        </w:tc>
        <w:tc>
          <w:tcPr>
            <w:tcW w:type="dxa" w:w="16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Site principal opérationnel</w:t>
            </w:r>
          </w:p>
        </w:tc>
        <w:tc>
          <w:tcPr>
            <w:tcW w:type="dxa" w:w="14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Responsable informatique BBI, ven. 16 oct.</w:t>
            </w:r>
          </w:p>
        </w:tc>
      </w:tr>
      <w:tr>
        <w:trPr>
          <w:cantSplit/>
        </w:trPr>
        <w:tc>
          <w:tcPr>
            <w:tcW w:type="dxa" w:w="1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3. Sites des filiales</w:t>
            </w:r>
          </w:p>
        </w:tc>
        <w:tc>
          <w:tcPr>
            <w:tcW w:type="dxa" w:w="365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Création d’un site par implantation hors siège, rattaché au site principal : Abidjan, Bamako et Dakar d’après les données actuelles, liste définitive à confirmer par BBI. Navigation commune. Portail installé sur chaque site.</w:t>
            </w:r>
          </w:p>
        </w:tc>
        <w:tc>
          <w:tcPr>
            <w:tcW w:type="dxa" w:w="125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Prestataire (accès administrateur BBI)</w:t>
            </w:r>
          </w:p>
        </w:tc>
        <w:tc>
          <w:tcPr>
            <w:tcW w:type="dxa" w:w="16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Sites des filiales rattachés</w:t>
            </w:r>
          </w:p>
        </w:tc>
        <w:tc>
          <w:tcPr>
            <w:tcW w:type="dxa" w:w="14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Responsables de site, ven. 23 oct.</w:t>
            </w:r>
          </w:p>
        </w:tc>
      </w:tr>
      <w:tr>
        <w:trPr>
          <w:cantSplit/>
        </w:trPr>
        <w:tc>
          <w:tcPr>
            <w:tcW w:type="dxa" w:w="17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4. Listes et bibliothèques</w:t>
            </w:r>
          </w:p>
        </w:tc>
        <w:tc>
          <w:tcPr>
            <w:tcW w:type="dxa" w:w="365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Création de 12 listes et 3 bibliothèques (détail ci-dessous). Chargement des données d’exemple, puis remplacement par les données réelles de BBI.</w:t>
            </w:r>
          </w:p>
        </w:tc>
        <w:tc>
          <w:tcPr>
            <w:tcW w:type="dxa" w:w="125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Prestataire (création), BBI (contenus)</w:t>
            </w:r>
          </w:p>
        </w:tc>
        <w:tc>
          <w:tcPr>
            <w:tcW w:type="dxa" w:w="16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15 listes et bibliothèques</w:t>
            </w:r>
          </w:p>
        </w:tc>
        <w:tc>
          <w:tcPr>
            <w:tcW w:type="dxa" w:w="14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Création : ven. 16 oct. Contenus : ven. 30 oct.</w:t>
            </w:r>
          </w:p>
        </w:tc>
      </w:tr>
      <w:tr>
        <w:trPr>
          <w:cantSplit/>
        </w:trPr>
        <w:tc>
          <w:tcPr>
            <w:tcW w:type="dxa" w:w="1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5. Développement et déploiement</w:t>
            </w:r>
          </w:p>
        </w:tc>
        <w:tc>
          <w:tcPr>
            <w:tcW w:type="dxa" w:w="365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Catalogue d’offres filtrable par pôle. Bandeau des trois pôles en page d’accueil. Rubrique « Sessions &amp; missions ». Installation dans le catalogue d’applications de l’organisation, d’abord en test puis en version finale.</w:t>
            </w:r>
          </w:p>
        </w:tc>
        <w:tc>
          <w:tcPr>
            <w:tcW w:type="dxa" w:w="125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Prestataire</w:t>
            </w:r>
          </w:p>
        </w:tc>
        <w:tc>
          <w:tcPr>
            <w:tcW w:type="dxa" w:w="16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Portail en version de recette</w:t>
            </w:r>
          </w:p>
        </w:tc>
        <w:tc>
          <w:tcPr>
            <w:tcW w:type="dxa" w:w="14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Référent BBI, démonstration ven. 23 oct.</w:t>
            </w:r>
          </w:p>
        </w:tc>
      </w:tr>
      <w:tr>
        <w:trPr>
          <w:cantSplit/>
        </w:trPr>
        <w:tc>
          <w:tcPr>
            <w:tcW w:type="dxa" w:w="17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6. Recette, droits et permissions</w:t>
            </w:r>
          </w:p>
        </w:tc>
        <w:tc>
          <w:tcPr>
            <w:tcW w:type="dxa" w:w="365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Parcours de test : accueil, offres par pôle, sessions, actualités, ressources, communauté, sites des filiales. Corrections. Revue des droits et permissions de chaque site.</w:t>
            </w:r>
          </w:p>
        </w:tc>
        <w:tc>
          <w:tcPr>
            <w:tcW w:type="dxa" w:w="125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Conjoint</w:t>
            </w:r>
          </w:p>
        </w:tc>
        <w:tc>
          <w:tcPr>
            <w:tcW w:type="dxa" w:w="16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Procès-verbal de recette</w:t>
            </w:r>
          </w:p>
        </w:tc>
        <w:tc>
          <w:tcPr>
            <w:tcW w:type="dxa" w:w="14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Direction BBI, jeu. 5 nov.</w:t>
            </w:r>
          </w:p>
        </w:tc>
      </w:tr>
      <w:tr>
        <w:trPr>
          <w:cantSplit/>
        </w:trPr>
        <w:tc>
          <w:tcPr>
            <w:tcW w:type="dxa" w:w="1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7. Formation et mise en ligne</w:t>
            </w:r>
          </w:p>
        </w:tc>
        <w:tc>
          <w:tcPr>
            <w:tcW w:type="dxa" w:w="365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Formation des administrateurs de contenu : publier une offre, une actualité, une session. Guide de prise en main. Passage en production. Support renforcé pendant 5 jours ouvrés après la mise en ligne.</w:t>
            </w:r>
          </w:p>
        </w:tc>
        <w:tc>
          <w:tcPr>
            <w:tcW w:type="dxa" w:w="125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Prestataire</w:t>
            </w:r>
          </w:p>
        </w:tc>
        <w:tc>
          <w:tcPr>
            <w:tcW w:type="dxa" w:w="16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Guide et portail en ligne</w:t>
            </w:r>
          </w:p>
        </w:tc>
        <w:tc>
          <w:tcPr>
            <w:tcW w:type="dxa" w:w="14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Direction BBI, ven. 6 nov.</w:t>
            </w:r>
          </w:p>
        </w:tc>
      </w:tr>
    </w:tbl>
    <w:p>
      <w:pPr>
        <w:pStyle w:val="Heading2"/>
        <w:keepNext/>
        <w:spacing w:after="80" w:before="200"/>
      </w:pPr>
      <w:r>
        <w:rPr>
          <w:rFonts w:ascii="Calibri" w:cs="Calibri" w:eastAsia="Calibri" w:hAnsi="Calibri"/>
          <w:b/>
          <w:bCs/>
          <w:color w:val="0E265C"/>
          <w:sz w:val="24"/>
          <w:szCs w:val="24"/>
        </w:rPr>
        <w:t xml:space="preserve">Listes et bibliothèques à créer</w:t>
      </w:r>
    </w:p>
    <w:p>
      <w:pPr>
        <w:spacing w:after="100" w:before="0" w:line="280"/>
      </w:pPr>
      <w:r>
        <w:rPr>
          <w:rFonts w:ascii="Calibri" w:cs="Calibri" w:eastAsia="Calibri" w:hAnsi="Calibri"/>
          <w:b/>
          <w:bCs/>
          <w:sz w:val="21"/>
          <w:szCs w:val="21"/>
        </w:rPr>
        <w:t xml:space="preserve">Listes (12) : </w:t>
      </w:r>
      <w:r>
        <w:rPr>
          <w:rFonts w:ascii="Calibri" w:cs="Calibri" w:eastAsia="Calibri" w:hAnsi="Calibri"/>
          <w:sz w:val="21"/>
          <w:szCs w:val="21"/>
        </w:rPr>
        <w:t xml:space="preserve">Actualités, Sessions, Formateurs, Offres (nouvelle, structurée en trois pôles), Employés du mois, Certifications, Annonces, Pensées du jour, Anniversaires, Implantations, Nos références, Références pédagogiques.</w:t>
      </w:r>
    </w:p>
    <w:p>
      <w:pPr>
        <w:spacing w:after="100" w:before="0" w:line="280"/>
      </w:pPr>
      <w:r>
        <w:rPr>
          <w:rFonts w:ascii="Calibri" w:cs="Calibri" w:eastAsia="Calibri" w:hAnsi="Calibri"/>
          <w:b/>
          <w:bCs/>
          <w:sz w:val="21"/>
          <w:szCs w:val="21"/>
        </w:rPr>
        <w:t xml:space="preserve">Bibliothèques (3) : </w:t>
      </w:r>
      <w:r>
        <w:rPr>
          <w:rFonts w:ascii="Calibri" w:cs="Calibri" w:eastAsia="Calibri" w:hAnsi="Calibri"/>
          <w:sz w:val="21"/>
          <w:szCs w:val="21"/>
        </w:rPr>
        <w:t xml:space="preserve">Supports publiés, Documents administratifs, Galerie médias.</w:t>
      </w:r>
    </w:p>
    <w:p>
      <w:pPr>
        <w:spacing w:after="100" w:before="0" w:line="280"/>
      </w:pPr>
      <w:r>
        <w:rPr>
          <w:rFonts w:ascii="Calibri" w:cs="Calibri" w:eastAsia="Calibri" w:hAnsi="Calibri"/>
          <w:sz w:val="21"/>
          <w:szCs w:val="21"/>
        </w:rPr>
        <w:t xml:space="preserve">Chaque liste est d’abord remplie avec des contenus d’exemple, afin que le portail soit présentable dès la première semaine. Les contenus réels de BBI les remplacent ensuite, source par source, sans bloquer la mise en ligne.</w:t>
      </w:r>
    </w:p>
    <w:p>
      <w:pPr>
        <w:pStyle w:val="Heading1"/>
        <w:keepNext/>
        <w:pBdr>
          <w:bottom w:val="single" w:color="D21419" w:sz="8" w:space="4"/>
        </w:pBdr>
        <w:spacing w:after="140" w:before="320"/>
      </w:pPr>
      <w:r>
        <w:rPr>
          <w:rFonts w:ascii="Calibri" w:cs="Calibri" w:eastAsia="Calibri" w:hAnsi="Calibri"/>
          <w:b/>
          <w:bCs/>
          <w:color w:val="0E265C"/>
          <w:sz w:val="30"/>
          <w:szCs w:val="30"/>
        </w:rPr>
        <w:t xml:space="preserve">5. Jalons et validations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338"/>
        <w:gridCol w:w="2900"/>
      </w:tblGrid>
      <w:tr>
        <w:trPr>
          <w:cantSplit/>
          <w:tblHeader/>
        </w:trPr>
        <w:tc>
          <w:tcPr>
            <w:tcW w:type="dxa" w:w="7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Jalon</w:t>
            </w:r>
          </w:p>
        </w:tc>
        <w:tc>
          <w:tcPr>
            <w:tcW w:type="dxa" w:w="17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Date</w:t>
            </w:r>
          </w:p>
        </w:tc>
        <w:tc>
          <w:tcPr>
            <w:tcW w:type="dxa" w:w="4338"/>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Critère d’acceptation</w:t>
            </w:r>
          </w:p>
        </w:tc>
        <w:tc>
          <w:tcPr>
            <w:tcW w:type="dxa" w:w="29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Validé par</w:t>
            </w:r>
          </w:p>
        </w:tc>
      </w:tr>
      <w:tr>
        <w:trPr>
          <w:cantSplit/>
        </w:trPr>
        <w:tc>
          <w:tcPr>
            <w:tcW w:type="dxa" w:w="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1</w:t>
            </w:r>
          </w:p>
        </w:tc>
        <w:tc>
          <w:tcPr>
            <w:tcW w:type="dxa" w:w="1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Vendredi 16 octobre</w:t>
            </w:r>
          </w:p>
        </w:tc>
        <w:tc>
          <w:tcPr>
            <w:tcW w:type="dxa" w:w="43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Textes validés. Site principal et 15 listes et bibliothèques créés.</w:t>
            </w:r>
          </w:p>
        </w:tc>
        <w:tc>
          <w:tcPr>
            <w:tcW w:type="dxa" w:w="29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Direction BBI et chef de projet du prestataire</w:t>
            </w:r>
          </w:p>
        </w:tc>
      </w:tr>
      <w:tr>
        <w:trPr>
          <w:cantSplit/>
        </w:trPr>
        <w:tc>
          <w:tcPr>
            <w:tcW w:type="dxa" w:w="7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2</w:t>
            </w:r>
          </w:p>
        </w:tc>
        <w:tc>
          <w:tcPr>
            <w:tcW w:type="dxa" w:w="17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Vendredi 23 octobre</w:t>
            </w:r>
          </w:p>
        </w:tc>
        <w:tc>
          <w:tcPr>
            <w:tcW w:type="dxa" w:w="43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Démonstration du catalogue d’offres par pôle. Sites des filiales créés et rattachés.</w:t>
            </w:r>
          </w:p>
        </w:tc>
        <w:tc>
          <w:tcPr>
            <w:tcW w:type="dxa" w:w="29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Référent BBI</w:t>
            </w:r>
          </w:p>
        </w:tc>
      </w:tr>
      <w:tr>
        <w:trPr>
          <w:cantSplit/>
        </w:trPr>
        <w:tc>
          <w:tcPr>
            <w:tcW w:type="dxa" w:w="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3</w:t>
            </w:r>
          </w:p>
        </w:tc>
        <w:tc>
          <w:tcPr>
            <w:tcW w:type="dxa" w:w="1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Vendredi 30 octobre</w:t>
            </w:r>
          </w:p>
        </w:tc>
        <w:tc>
          <w:tcPr>
            <w:tcW w:type="dxa" w:w="43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Version de recette complète, contenus réels intégrés, droits et permissions en place.</w:t>
            </w:r>
          </w:p>
        </w:tc>
        <w:tc>
          <w:tcPr>
            <w:tcW w:type="dxa" w:w="29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Référent BBI et responsable informatique</w:t>
            </w:r>
          </w:p>
        </w:tc>
      </w:tr>
      <w:tr>
        <w:trPr>
          <w:cantSplit/>
        </w:trPr>
        <w:tc>
          <w:tcPr>
            <w:tcW w:type="dxa" w:w="7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4</w:t>
            </w:r>
          </w:p>
        </w:tc>
        <w:tc>
          <w:tcPr>
            <w:tcW w:type="dxa" w:w="17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Jeudi 5 novembre</w:t>
            </w:r>
          </w:p>
        </w:tc>
        <w:tc>
          <w:tcPr>
            <w:tcW w:type="dxa" w:w="43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Recette terminée, anomalies bloquantes corrigées, procès-verbal signé.</w:t>
            </w:r>
          </w:p>
        </w:tc>
        <w:tc>
          <w:tcPr>
            <w:tcW w:type="dxa" w:w="29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Direction BBI</w:t>
            </w:r>
          </w:p>
        </w:tc>
      </w:tr>
      <w:tr>
        <w:trPr>
          <w:cantSplit/>
        </w:trPr>
        <w:tc>
          <w:tcPr>
            <w:tcW w:type="dxa" w:w="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5</w:t>
            </w:r>
          </w:p>
        </w:tc>
        <w:tc>
          <w:tcPr>
            <w:tcW w:type="dxa" w:w="1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Vendredi 6 novembre</w:t>
            </w:r>
          </w:p>
        </w:tc>
        <w:tc>
          <w:tcPr>
            <w:tcW w:type="dxa" w:w="43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Mise en ligne du portail. Administrateurs de contenu formés.</w:t>
            </w:r>
          </w:p>
        </w:tc>
        <w:tc>
          <w:tcPr>
            <w:tcW w:type="dxa" w:w="29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Direction BBI</w:t>
            </w:r>
          </w:p>
        </w:tc>
      </w:tr>
    </w:tbl>
    <w:p>
      <w:pPr>
        <w:pStyle w:val="Heading1"/>
        <w:keepNext/>
        <w:pBdr>
          <w:bottom w:val="single" w:color="D21419" w:sz="8" w:space="4"/>
        </w:pBdr>
        <w:spacing w:after="140" w:before="320"/>
      </w:pPr>
      <w:r>
        <w:rPr>
          <w:rFonts w:ascii="Calibri" w:cs="Calibri" w:eastAsia="Calibri" w:hAnsi="Calibri"/>
          <w:b/>
          <w:bCs/>
          <w:color w:val="0E265C"/>
          <w:sz w:val="30"/>
          <w:szCs w:val="30"/>
        </w:rPr>
        <w:t xml:space="preserve">6. Ce dont nous avons besoin de BBI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3038"/>
      </w:tblGrid>
      <w:tr>
        <w:trPr>
          <w:cantSplit/>
          <w:tblHeader/>
        </w:trPr>
        <w:tc>
          <w:tcPr>
            <w:tcW w:type="dxa" w:w="43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Besoin</w:t>
            </w:r>
          </w:p>
        </w:tc>
        <w:tc>
          <w:tcPr>
            <w:tcW w:type="dxa" w:w="23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Date limite</w:t>
            </w:r>
          </w:p>
        </w:tc>
        <w:tc>
          <w:tcPr>
            <w:tcW w:type="dxa" w:w="3038"/>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Pourquoi</w:t>
            </w:r>
          </w:p>
        </w:tc>
      </w:tr>
      <w:tr>
        <w:trPr>
          <w:cantSplit/>
        </w:trPr>
        <w:tc>
          <w:tcPr>
            <w:tcW w:type="dxa" w:w="43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Accès administrateur SharePoint, indispensable pour créer les sites des filiales</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Mercredi 14 octobre</w:t>
            </w:r>
          </w:p>
        </w:tc>
        <w:tc>
          <w:tcPr>
            <w:tcW w:type="dxa" w:w="30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Sans cet accès, les sites des filiales ne peuvent pas être créés.</w:t>
            </w:r>
          </w:p>
        </w:tc>
      </w:tr>
      <w:tr>
        <w:trPr>
          <w:cantSplit/>
        </w:trPr>
        <w:tc>
          <w:tcPr>
            <w:tcW w:type="dxa" w:w="43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Validation des textes : vision, mission, objectifs, bandeau d’accueil, chiffres clés</w:t>
            </w:r>
          </w:p>
        </w:tc>
        <w:tc>
          <w:tcPr>
            <w:tcW w:type="dxa" w:w="23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Jeudi 15 octobre</w:t>
            </w:r>
          </w:p>
        </w:tc>
        <w:tc>
          <w:tcPr>
            <w:tcW w:type="dxa" w:w="30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Conditionne le jalon 1 et le développement de la semaine 2.</w:t>
            </w:r>
          </w:p>
        </w:tc>
      </w:tr>
      <w:tr>
        <w:trPr>
          <w:cantSplit/>
        </w:trPr>
        <w:tc>
          <w:tcPr>
            <w:tcW w:type="dxa" w:w="43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Liste définitive des filiales et de leurs responsables</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Vendredi 16 octobre</w:t>
            </w:r>
          </w:p>
        </w:tc>
        <w:tc>
          <w:tcPr>
            <w:tcW w:type="dxa" w:w="30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Un site est créé par filiale dès le lundi 19 octobre.</w:t>
            </w:r>
          </w:p>
        </w:tc>
      </w:tr>
      <w:tr>
        <w:trPr>
          <w:cantSplit/>
        </w:trPr>
        <w:tc>
          <w:tcPr>
            <w:tcW w:type="dxa" w:w="43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Premiers contenus réels : photos, logos des clients, annonces</w:t>
            </w:r>
          </w:p>
        </w:tc>
        <w:tc>
          <w:tcPr>
            <w:tcW w:type="dxa" w:w="23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Vendredi 23 octobre</w:t>
            </w:r>
          </w:p>
        </w:tc>
        <w:tc>
          <w:tcPr>
            <w:tcW w:type="dxa" w:w="30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Permet l’intégration pendant la semaine 3.</w:t>
            </w:r>
          </w:p>
        </w:tc>
      </w:tr>
      <w:tr>
        <w:trPr>
          <w:cantSplit/>
        </w:trPr>
        <w:tc>
          <w:tcPr>
            <w:tcW w:type="dxa" w:w="43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Contenus réels complets (offres, sessions, formateurs, actualités)</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Mercredi 28 octobre</w:t>
            </w:r>
          </w:p>
        </w:tc>
        <w:tc>
          <w:tcPr>
            <w:tcW w:type="dxa" w:w="30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Nécessaires pour la version de recette du 30 octobre.</w:t>
            </w:r>
          </w:p>
        </w:tc>
      </w:tr>
      <w:tr>
        <w:trPr>
          <w:cantSplit/>
        </w:trPr>
        <w:tc>
          <w:tcPr>
            <w:tcW w:type="dxa" w:w="43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Disponibilité de deux personnes pour la recette</w:t>
            </w:r>
          </w:p>
        </w:tc>
        <w:tc>
          <w:tcPr>
            <w:tcW w:type="dxa" w:w="23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Lundi 2 au mercredi 4 novembre</w:t>
            </w:r>
          </w:p>
        </w:tc>
        <w:tc>
          <w:tcPr>
            <w:tcW w:type="dxa" w:w="30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Parcours de test et retours consolidés.</w:t>
            </w:r>
          </w:p>
        </w:tc>
      </w:tr>
      <w:tr>
        <w:trPr>
          <w:cantSplit/>
        </w:trPr>
        <w:tc>
          <w:tcPr>
            <w:tcW w:type="dxa" w:w="43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Validation finale du portail</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Jeudi 5 novembre</w:t>
            </w:r>
          </w:p>
        </w:tc>
        <w:tc>
          <w:tcPr>
            <w:tcW w:type="dxa" w:w="30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Autorise la mise en ligne du 6 novembre.</w:t>
            </w:r>
          </w:p>
        </w:tc>
      </w:tr>
    </w:tbl>
    <w:p>
      <w:pPr>
        <w:pStyle w:val="Heading1"/>
        <w:keepNext/>
        <w:pBdr>
          <w:bottom w:val="single" w:color="D21419" w:sz="8" w:space="4"/>
        </w:pBdr>
        <w:spacing w:after="140" w:before="320"/>
      </w:pPr>
      <w:r>
        <w:rPr>
          <w:rFonts w:ascii="Calibri" w:cs="Calibri" w:eastAsia="Calibri" w:hAnsi="Calibri"/>
          <w:b/>
          <w:bCs/>
          <w:color w:val="0E265C"/>
          <w:sz w:val="30"/>
          <w:szCs w:val="30"/>
        </w:rPr>
        <w:t xml:space="preserve">7. Risques et parades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338"/>
      </w:tblGrid>
      <w:tr>
        <w:trPr>
          <w:cantSplit/>
          <w:tblHeader/>
        </w:trPr>
        <w:tc>
          <w:tcPr>
            <w:tcW w:type="dxa" w:w="27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Risque</w:t>
            </w:r>
          </w:p>
        </w:tc>
        <w:tc>
          <w:tcPr>
            <w:tcW w:type="dxa" w:w="3600"/>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Effet possible</w:t>
            </w:r>
          </w:p>
        </w:tc>
        <w:tc>
          <w:tcPr>
            <w:tcW w:type="dxa" w:w="3338"/>
            <w:tcBorders>
              <w:top w:val="single" w:color="C9D1E0" w:sz="4"/>
              <w:left w:val="single" w:color="C9D1E0" w:sz="4"/>
              <w:bottom w:val="single" w:color="C9D1E0" w:sz="4"/>
              <w:right w:val="single" w:color="C9D1E0" w:sz="4"/>
            </w:tcBorders>
            <w:shd w:fill="0E265C" w:color="auto" w:val="clear"/>
            <w:tcMar>
              <w:top w:type="dxa" w:w="70"/>
              <w:left w:type="dxa" w:w="100"/>
              <w:bottom w:type="dxa" w:w="70"/>
              <w:right w:type="dxa" w:w="100"/>
            </w:tcMar>
            <w:vAlign w:val="center"/>
          </w:tcPr>
          <w:p>
            <w:pPr>
              <w:spacing w:after="30" w:line="250"/>
            </w:pPr>
            <w:r>
              <w:rPr>
                <w:rFonts w:ascii="Calibri" w:cs="Calibri" w:eastAsia="Calibri" w:hAnsi="Calibri"/>
                <w:b/>
                <w:bCs/>
                <w:color w:val="FFFFFF"/>
                <w:sz w:val="18"/>
                <w:szCs w:val="18"/>
              </w:rPr>
              <w:t xml:space="preserve">Parade</w:t>
            </w:r>
          </w:p>
        </w:tc>
      </w:tr>
      <w:tr>
        <w:trPr>
          <w:cantSplit/>
        </w:trPr>
        <w:tc>
          <w:tcPr>
            <w:tcW w:type="dxa" w:w="2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Délais de validation dépassés</w:t>
            </w:r>
          </w:p>
        </w:tc>
        <w:tc>
          <w:tcPr>
            <w:tcW w:type="dxa" w:w="36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Décalage de la mise en ligne.</w:t>
            </w:r>
          </w:p>
        </w:tc>
        <w:tc>
          <w:tcPr>
            <w:tcW w:type="dxa" w:w="33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Validation par courriel sous 48 heures, relance le lendemain, point de décision chaque vendredi.</w:t>
            </w:r>
          </w:p>
        </w:tc>
      </w:tr>
      <w:tr>
        <w:trPr>
          <w:cantSplit/>
        </w:trPr>
        <w:tc>
          <w:tcPr>
            <w:tcW w:type="dxa" w:w="27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Droits administrateur tardifs</w:t>
            </w:r>
          </w:p>
        </w:tc>
        <w:tc>
          <w:tcPr>
            <w:tcW w:type="dxa" w:w="36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Sites des filiales non créés en semaine 2.</w:t>
            </w:r>
          </w:p>
        </w:tc>
        <w:tc>
          <w:tcPr>
            <w:tcW w:type="dxa" w:w="33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Demande dès le 12 octobre. Accès vérifié le 13 octobre.</w:t>
            </w:r>
          </w:p>
        </w:tc>
      </w:tr>
      <w:tr>
        <w:trPr>
          <w:cantSplit/>
        </w:trPr>
        <w:tc>
          <w:tcPr>
            <w:tcW w:type="dxa" w:w="2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Contenus réels fournis en retard</w:t>
            </w:r>
          </w:p>
        </w:tc>
        <w:tc>
          <w:tcPr>
            <w:tcW w:type="dxa" w:w="36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Portail présenté avec des contenus d’exemple.</w:t>
            </w:r>
          </w:p>
        </w:tc>
        <w:tc>
          <w:tcPr>
            <w:tcW w:type="dxa" w:w="33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Le portail reste complet avec les contenus d’exemple. Remplacement progressif, y compris après la mise en ligne.</w:t>
            </w:r>
          </w:p>
        </w:tc>
      </w:tr>
      <w:tr>
        <w:trPr>
          <w:cantSplit/>
        </w:trPr>
        <w:tc>
          <w:tcPr>
            <w:tcW w:type="dxa" w:w="27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Demandes hors périmètre en cours de route</w:t>
            </w:r>
          </w:p>
        </w:tc>
        <w:tc>
          <w:tcPr>
            <w:tcW w:type="dxa" w:w="3600"/>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Dépassement du délai d’un mois.</w:t>
            </w:r>
          </w:p>
        </w:tc>
        <w:tc>
          <w:tcPr>
            <w:tcW w:type="dxa" w:w="3338"/>
            <w:tcBorders>
              <w:top w:val="single" w:color="C9D1E0" w:sz="4"/>
              <w:left w:val="single" w:color="C9D1E0" w:sz="4"/>
              <w:bottom w:val="single" w:color="C9D1E0" w:sz="4"/>
              <w:right w:val="single" w:color="C9D1E0" w:sz="4"/>
            </w:tcBorders>
            <w:shd w:fill="EEF2FA" w:color="auto" w:val="clear"/>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Toute demande nouvelle est notée et planifiée dans une seconde phase.</w:t>
            </w:r>
          </w:p>
        </w:tc>
      </w:tr>
      <w:tr>
        <w:trPr>
          <w:cantSplit/>
        </w:trPr>
        <w:tc>
          <w:tcPr>
            <w:tcW w:type="dxa" w:w="27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bCs/>
                <w:sz w:val="18"/>
                <w:szCs w:val="18"/>
              </w:rPr>
              <w:t xml:space="preserve">Disponibilité insuffisante pour la recette</w:t>
            </w:r>
          </w:p>
        </w:tc>
        <w:tc>
          <w:tcPr>
            <w:tcW w:type="dxa" w:w="3600"/>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Corrections incomplètes avant la mise en ligne.</w:t>
            </w:r>
          </w:p>
        </w:tc>
        <w:tc>
          <w:tcPr>
            <w:tcW w:type="dxa" w:w="3338"/>
            <w:tcBorders>
              <w:top w:val="single" w:color="C9D1E0" w:sz="4"/>
              <w:left w:val="single" w:color="C9D1E0" w:sz="4"/>
              <w:bottom w:val="single" w:color="C9D1E0" w:sz="4"/>
              <w:right w:val="single" w:color="C9D1E0" w:sz="4"/>
            </w:tcBorders>
            <w:tcMar>
              <w:top w:type="dxa" w:w="70"/>
              <w:left w:type="dxa" w:w="100"/>
              <w:bottom w:type="dxa" w:w="70"/>
              <w:right w:type="dxa" w:w="100"/>
            </w:tcMar>
            <w:vAlign w:val="top"/>
          </w:tcPr>
          <w:p>
            <w:pPr>
              <w:spacing w:after="30" w:line="250"/>
            </w:pPr>
            <w:r>
              <w:rPr>
                <w:rFonts w:ascii="Calibri" w:cs="Calibri" w:eastAsia="Calibri" w:hAnsi="Calibri"/>
                <w:b w:val="false"/>
                <w:bCs w:val="false"/>
                <w:sz w:val="18"/>
                <w:szCs w:val="18"/>
              </w:rPr>
              <w:t xml:space="preserve">Créneaux de recette réservés dès maintenant dans les agendas.</w:t>
            </w:r>
          </w:p>
        </w:tc>
      </w:tr>
    </w:tbl>
    <w:p>
      <w:pPr>
        <w:pStyle w:val="Heading1"/>
        <w:keepNext/>
        <w:pBdr>
          <w:bottom w:val="single" w:color="D21419" w:sz="8" w:space="4"/>
        </w:pBdr>
        <w:spacing w:after="140" w:before="320"/>
      </w:pPr>
      <w:r>
        <w:rPr>
          <w:rFonts w:ascii="Calibri" w:cs="Calibri" w:eastAsia="Calibri" w:hAnsi="Calibri"/>
          <w:b/>
          <w:bCs/>
          <w:color w:val="0E265C"/>
          <w:sz w:val="30"/>
          <w:szCs w:val="30"/>
        </w:rPr>
        <w:t xml:space="preserve">8. Hypothèses</w:t>
      </w:r>
    </w:p>
    <w:p>
      <w:pPr>
        <w:pStyle w:val="ListParagraph"/>
        <w:numPr>
          <w:ilvl w:val="0"/>
          <w:numId w:val="2"/>
        </w:numPr>
        <w:spacing w:after="60" w:line="276"/>
      </w:pPr>
      <w:r>
        <w:rPr>
          <w:rFonts w:ascii="Calibri" w:cs="Calibri" w:eastAsia="Calibri" w:hAnsi="Calibri"/>
          <w:sz w:val="21"/>
          <w:szCs w:val="21"/>
        </w:rPr>
        <w:t xml:space="preserve">Le délai d’un mois ne tient que si BBI valide chaque livrable sous 48 heures ouvrées.</w:t>
      </w:r>
    </w:p>
    <w:p>
      <w:pPr>
        <w:pStyle w:val="ListParagraph"/>
        <w:numPr>
          <w:ilvl w:val="0"/>
          <w:numId w:val="2"/>
        </w:numPr>
        <w:spacing w:after="60" w:line="276"/>
      </w:pPr>
      <w:r>
        <w:rPr>
          <w:rFonts w:ascii="Calibri" w:cs="Calibri" w:eastAsia="Calibri" w:hAnsi="Calibri"/>
          <w:sz w:val="21"/>
          <w:szCs w:val="21"/>
        </w:rPr>
        <w:t xml:space="preserve">Un accès administrateur SharePoint est mis à disposition le 14 octobre au plus tard.</w:t>
      </w:r>
    </w:p>
    <w:p>
      <w:pPr>
        <w:pStyle w:val="ListParagraph"/>
        <w:numPr>
          <w:ilvl w:val="0"/>
          <w:numId w:val="2"/>
        </w:numPr>
        <w:spacing w:after="60" w:line="276"/>
      </w:pPr>
      <w:r>
        <w:rPr>
          <w:rFonts w:ascii="Calibri" w:cs="Calibri" w:eastAsia="Calibri" w:hAnsi="Calibri"/>
          <w:sz w:val="21"/>
          <w:szCs w:val="21"/>
        </w:rPr>
        <w:t xml:space="preserve">Trois sites de filiales sont prévus (Abidjan, Bamako, Dakar), selon les données actuelles. Chaque filiale supplémentaire ajoute environ une demi-journée de travail.</w:t>
      </w:r>
    </w:p>
    <w:p>
      <w:pPr>
        <w:pStyle w:val="ListParagraph"/>
        <w:numPr>
          <w:ilvl w:val="0"/>
          <w:numId w:val="2"/>
        </w:numPr>
        <w:spacing w:after="60" w:line="276"/>
      </w:pPr>
      <w:r>
        <w:rPr>
          <w:rFonts w:ascii="Calibri" w:cs="Calibri" w:eastAsia="Calibri" w:hAnsi="Calibri"/>
          <w:sz w:val="21"/>
          <w:szCs w:val="21"/>
        </w:rPr>
        <w:t xml:space="preserve">Les contenus réels sont fournis par BBI aux dates indiquées. À défaut, le portail est mis en ligne avec les contenus d’exemple.</w:t>
      </w:r>
    </w:p>
    <w:p>
      <w:pPr>
        <w:pStyle w:val="ListParagraph"/>
        <w:numPr>
          <w:ilvl w:val="0"/>
          <w:numId w:val="2"/>
        </w:numPr>
        <w:spacing w:after="60" w:line="276"/>
      </w:pPr>
      <w:r>
        <w:rPr>
          <w:rFonts w:ascii="Calibri" w:cs="Calibri" w:eastAsia="Calibri" w:hAnsi="Calibri"/>
          <w:sz w:val="21"/>
          <w:szCs w:val="21"/>
        </w:rPr>
        <w:t xml:space="preserve">Le support renforcé de 5 jours ouvrés suivant la mise en ligne s’ajoute au calendrier d’un mois et n’en fait pas partie.</w:t>
      </w:r>
    </w:p>
    <w:p>
      <w:pPr>
        <w:pStyle w:val="ListParagraph"/>
        <w:numPr>
          <w:ilvl w:val="0"/>
          <w:numId w:val="2"/>
        </w:numPr>
        <w:spacing w:after="60" w:line="276"/>
      </w:pPr>
      <w:r>
        <w:rPr>
          <w:rFonts w:ascii="Calibri" w:cs="Calibri" w:eastAsia="Calibri" w:hAnsi="Calibri"/>
          <w:sz w:val="21"/>
          <w:szCs w:val="21"/>
        </w:rPr>
        <w:t xml:space="preserve">Le périmètre est celui décrit dans ce document. Toute évolution est traitée dans une seconde phase.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270"/>
        <w:sz w:val="17"/>
        <w:szCs w:val="17"/>
      </w:rPr>
      <w:t xml:space="preserve">Business Builders International  ·  Version 1.0  ·  Page </w:t>
    </w:r>
    <w:r>
      <w:rPr>
        <w:rFonts w:ascii="Calibri" w:cs="Calibri" w:eastAsia="Calibri" w:hAnsi="Calibri"/>
        <w:color w:val="5A6270"/>
        <w:sz w:val="17"/>
        <w:szCs w:val="17"/>
      </w:rPr>
      <w:fldChar w:fldCharType="begin"/>
      <w:instrText xml:space="preserve">PAGE</w:instrText>
      <w:fldChar w:fldCharType="separate"/>
      <w:fldChar w:fldCharType="end"/>
    </w:r>
    <w:r>
      <w:rPr>
        <w:rFonts w:ascii="Calibri" w:cs="Calibri" w:eastAsia="Calibri" w:hAnsi="Calibri"/>
        <w:color w:val="5A6270"/>
        <w:sz w:val="17"/>
        <w:szCs w:val="17"/>
      </w:rPr>
      <w:t xml:space="preserve"> sur </w:t>
    </w:r>
    <w:r>
      <w:rPr>
        <w:rFonts w:ascii="Calibri" w:cs="Calibri" w:eastAsia="Calibri" w:hAnsi="Calibri"/>
        <w:color w:val="5A627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270"/>
        <w:sz w:val="17"/>
        <w:szCs w:val="17"/>
      </w:rPr>
      <w:t xml:space="preserve">Agenda de projet · Portail intranet BBI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 de projet — Portail intranet BBI</dc:title>
  <dc:creator>Business Builders International</dc:creator>
  <cp:lastModifiedBy>Un-named</cp:lastModifiedBy>
  <cp:revision>1</cp:revision>
  <dcterms:created xsi:type="dcterms:W3CDTF">2026-10-09T13:38:38.212Z</dcterms:created>
  <dcterms:modified xsi:type="dcterms:W3CDTF">2026-10-09T13:38:38.214Z</dcterms:modified>
</cp:coreProperties>
</file>

<file path=docProps/custom.xml><?xml version="1.0" encoding="utf-8"?>
<Properties xmlns="http://schemas.openxmlformats.org/officeDocument/2006/custom-properties" xmlns:vt="http://schemas.openxmlformats.org/officeDocument/2006/docPropsVTypes"/>
</file>