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1D97" w:rsidRDefault="00D91711" w:rsidP="00BF2275">
      <w:pPr>
        <w:jc w:val="center"/>
      </w:pPr>
      <w:r>
        <w:rPr>
          <w:b/>
          <w:bCs/>
          <w:sz w:val="40"/>
          <w:szCs w:val="40"/>
        </w:rPr>
        <w:t xml:space="preserve">Final Project — </w:t>
      </w:r>
      <w:proofErr w:type="spellStart"/>
      <w:r>
        <w:rPr>
          <w:b/>
          <w:bCs/>
          <w:sz w:val="40"/>
          <w:szCs w:val="40"/>
        </w:rPr>
        <w:t>Exploratory</w:t>
      </w:r>
      <w:proofErr w:type="spellEnd"/>
      <w:r>
        <w:rPr>
          <w:b/>
          <w:bCs/>
          <w:sz w:val="40"/>
          <w:szCs w:val="40"/>
        </w:rPr>
        <w:t xml:space="preserve"> Data </w:t>
      </w:r>
      <w:proofErr w:type="spellStart"/>
      <w:r>
        <w:rPr>
          <w:b/>
          <w:bCs/>
          <w:sz w:val="40"/>
          <w:szCs w:val="40"/>
        </w:rPr>
        <w:t>Analysis</w:t>
      </w:r>
      <w:proofErr w:type="spellEnd"/>
    </w:p>
    <w:p w:rsidR="002C1D97" w:rsidRDefault="00D91711" w:rsidP="00BF2275">
      <w:pPr>
        <w:jc w:val="center"/>
      </w:pPr>
      <w:r>
        <w:rPr>
          <w:sz w:val="26"/>
          <w:szCs w:val="26"/>
        </w:rPr>
        <w:t>Dataset: FIFA World Cup 1930–2014</w:t>
      </w:r>
    </w:p>
    <w:p w:rsidR="002C1D97" w:rsidRDefault="00D91711" w:rsidP="00BF2275">
      <w:pPr>
        <w:jc w:val="center"/>
        <w:rPr>
          <w:color w:val="666666"/>
          <w:sz w:val="22"/>
          <w:szCs w:val="22"/>
        </w:rPr>
      </w:pPr>
      <w:r>
        <w:rPr>
          <w:color w:val="666666"/>
          <w:sz w:val="22"/>
          <w:szCs w:val="22"/>
        </w:rPr>
        <w:t>Course: Exploratory Data Analysis — UNIFEI — 2026.1</w:t>
      </w:r>
      <w:bookmarkStart w:id="0" w:name="_GoBack"/>
      <w:bookmarkEnd w:id="0"/>
    </w:p>
    <w:p w:rsidR="00BF2275" w:rsidRDefault="00BF2275" w:rsidP="00BF2275">
      <w:pPr>
        <w:jc w:val="center"/>
      </w:pPr>
    </w:p>
    <w:p w:rsidR="002C1D97" w:rsidRPr="00C04760" w:rsidRDefault="00D91711" w:rsidP="00C04760">
      <w:pPr>
        <w:pStyle w:val="Ttulo1"/>
        <w:jc w:val="both"/>
      </w:pPr>
      <w:r>
        <w:t>Stage 1 — Data Understanding</w:t>
      </w:r>
    </w:p>
    <w:p w:rsidR="002C1D97" w:rsidRDefault="00D91711" w:rsidP="00C04760">
      <w:pPr>
        <w:pStyle w:val="Ttulo2"/>
        <w:spacing w:before="300" w:after="150"/>
        <w:jc w:val="both"/>
      </w:pPr>
      <w:r>
        <w:t>1.1 Context and Purpose of the Data Collection</w:t>
      </w:r>
    </w:p>
    <w:p w:rsidR="002C1D97" w:rsidRDefault="00D91711" w:rsidP="00C04760">
      <w:pPr>
        <w:spacing w:after="160"/>
        <w:jc w:val="both"/>
      </w:pPr>
      <w:r>
        <w:t>The dataset brings together the complete history of official FIFA World Cup matches, covering 20 editions, from 1930 (Uruguay) to 2014 (Brazil), totaling 850 match records. Each row represents a match and provides information on venue, teams, score, attendance, and officiating. The likely purpose of the collection is to enable historical and statistical analyses of national team performance, the evolution of stadium attendance, competition formats (group stages, knockout stages), and match characteristics over nearly a century of tournaments.</w:t>
      </w:r>
    </w:p>
    <w:p w:rsidR="002C1D97" w:rsidRDefault="00D91711" w:rsidP="00C04760">
      <w:pPr>
        <w:pStyle w:val="Ttulo2"/>
        <w:spacing w:before="300" w:after="150"/>
        <w:jc w:val="both"/>
      </w:pPr>
      <w:r>
        <w:t>1.2 Description and Classification of the Variables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5"/>
        <w:gridCol w:w="3015"/>
        <w:gridCol w:w="3016"/>
      </w:tblGrid>
      <w:tr w:rsidR="002C1D97" w:rsidTr="001C7801">
        <w:tc>
          <w:tcPr>
            <w:tcW w:w="1650" w:type="pct"/>
            <w:shd w:val="clear" w:color="auto" w:fill="DDEBF7"/>
            <w:vAlign w:val="center"/>
          </w:tcPr>
          <w:p w:rsidR="002C1D97" w:rsidRDefault="00D91711" w:rsidP="001C7801">
            <w:pPr>
              <w:jc w:val="center"/>
            </w:pPr>
            <w:r>
              <w:rPr>
                <w:b/>
                <w:bCs/>
              </w:rPr>
              <w:t>Variable</w:t>
            </w:r>
          </w:p>
        </w:tc>
        <w:tc>
          <w:tcPr>
            <w:tcW w:w="1650" w:type="pct"/>
            <w:shd w:val="clear" w:color="auto" w:fill="DDEBF7"/>
            <w:vAlign w:val="center"/>
          </w:tcPr>
          <w:p w:rsidR="002C1D97" w:rsidRDefault="00D91711" w:rsidP="001C7801">
            <w:pPr>
              <w:jc w:val="center"/>
            </w:pPr>
            <w:r>
              <w:rPr>
                <w:b/>
                <w:bCs/>
              </w:rPr>
              <w:t>Description</w:t>
            </w:r>
          </w:p>
        </w:tc>
        <w:tc>
          <w:tcPr>
            <w:tcW w:w="1650" w:type="pct"/>
            <w:shd w:val="clear" w:color="auto" w:fill="DDEBF7"/>
            <w:vAlign w:val="center"/>
          </w:tcPr>
          <w:p w:rsidR="002C1D97" w:rsidRDefault="00D91711" w:rsidP="001C7801">
            <w:pPr>
              <w:jc w:val="center"/>
            </w:pPr>
            <w:r>
              <w:rPr>
                <w:b/>
                <w:bCs/>
              </w:rPr>
              <w:t>Classification</w:t>
            </w:r>
          </w:p>
        </w:tc>
      </w:tr>
      <w:tr w:rsidR="002C1D97" w:rsidTr="001C7801">
        <w:tc>
          <w:tcPr>
            <w:tcW w:w="1650" w:type="pct"/>
            <w:vAlign w:val="center"/>
          </w:tcPr>
          <w:p w:rsidR="002C1D97" w:rsidRDefault="00D91711" w:rsidP="001C7801">
            <w:pPr>
              <w:jc w:val="center"/>
            </w:pPr>
            <w:r>
              <w:t>Year</w:t>
            </w:r>
          </w:p>
        </w:tc>
        <w:tc>
          <w:tcPr>
            <w:tcW w:w="1650" w:type="pct"/>
            <w:vAlign w:val="center"/>
          </w:tcPr>
          <w:p w:rsidR="002C1D97" w:rsidRDefault="00D91711" w:rsidP="001C7801">
            <w:pPr>
              <w:jc w:val="center"/>
            </w:pPr>
            <w:r>
              <w:t>Year the World Cup was held</w:t>
            </w:r>
          </w:p>
        </w:tc>
        <w:tc>
          <w:tcPr>
            <w:tcW w:w="1650" w:type="pct"/>
            <w:vAlign w:val="center"/>
          </w:tcPr>
          <w:p w:rsidR="002C1D97" w:rsidRDefault="00D91711" w:rsidP="001C7801">
            <w:pPr>
              <w:jc w:val="center"/>
            </w:pPr>
            <w:r>
              <w:t>Discrete quantitative</w:t>
            </w:r>
          </w:p>
        </w:tc>
      </w:tr>
      <w:tr w:rsidR="002C1D97" w:rsidTr="001C7801">
        <w:tc>
          <w:tcPr>
            <w:tcW w:w="1650" w:type="pct"/>
            <w:vAlign w:val="center"/>
          </w:tcPr>
          <w:p w:rsidR="002C1D97" w:rsidRDefault="00D91711" w:rsidP="001C7801">
            <w:pPr>
              <w:jc w:val="center"/>
            </w:pPr>
            <w:r>
              <w:t>Datetime</w:t>
            </w:r>
          </w:p>
        </w:tc>
        <w:tc>
          <w:tcPr>
            <w:tcW w:w="1650" w:type="pct"/>
            <w:vAlign w:val="center"/>
          </w:tcPr>
          <w:p w:rsidR="002C1D97" w:rsidRDefault="00D91711" w:rsidP="001C7801">
            <w:pPr>
              <w:jc w:val="center"/>
            </w:pPr>
            <w:r>
              <w:t>Date and time of the match</w:t>
            </w:r>
          </w:p>
        </w:tc>
        <w:tc>
          <w:tcPr>
            <w:tcW w:w="1650" w:type="pct"/>
            <w:vAlign w:val="center"/>
          </w:tcPr>
          <w:p w:rsidR="002C1D97" w:rsidRDefault="00D91711" w:rsidP="001C7801">
            <w:pPr>
              <w:jc w:val="center"/>
            </w:pPr>
            <w:r>
              <w:t>Nominal qualitative (date/time)</w:t>
            </w:r>
          </w:p>
        </w:tc>
      </w:tr>
      <w:tr w:rsidR="002C1D97" w:rsidTr="001C7801">
        <w:tc>
          <w:tcPr>
            <w:tcW w:w="1650" w:type="pct"/>
            <w:vAlign w:val="center"/>
          </w:tcPr>
          <w:p w:rsidR="002C1D97" w:rsidRDefault="00D91711" w:rsidP="001C7801">
            <w:pPr>
              <w:jc w:val="center"/>
            </w:pPr>
            <w:r>
              <w:t>Stage</w:t>
            </w:r>
          </w:p>
        </w:tc>
        <w:tc>
          <w:tcPr>
            <w:tcW w:w="1650" w:type="pct"/>
            <w:vAlign w:val="center"/>
          </w:tcPr>
          <w:p w:rsidR="002C1D97" w:rsidRDefault="00D91711" w:rsidP="001C7801">
            <w:pPr>
              <w:jc w:val="center"/>
            </w:pPr>
            <w:r>
              <w:t>Competition stage (group, round of 16, final...)</w:t>
            </w:r>
          </w:p>
        </w:tc>
        <w:tc>
          <w:tcPr>
            <w:tcW w:w="1650" w:type="pct"/>
            <w:vAlign w:val="center"/>
          </w:tcPr>
          <w:p w:rsidR="002C1D97" w:rsidRDefault="00D91711" w:rsidP="001C7801">
            <w:pPr>
              <w:jc w:val="center"/>
            </w:pPr>
            <w:r>
              <w:t>Ordinal qualitative</w:t>
            </w:r>
          </w:p>
        </w:tc>
      </w:tr>
      <w:tr w:rsidR="002C1D97" w:rsidTr="001C7801">
        <w:tc>
          <w:tcPr>
            <w:tcW w:w="1650" w:type="pct"/>
            <w:vAlign w:val="center"/>
          </w:tcPr>
          <w:p w:rsidR="002C1D97" w:rsidRDefault="00D91711" w:rsidP="001C7801">
            <w:pPr>
              <w:jc w:val="center"/>
            </w:pPr>
            <w:r>
              <w:t>Stadium</w:t>
            </w:r>
          </w:p>
        </w:tc>
        <w:tc>
          <w:tcPr>
            <w:tcW w:w="1650" w:type="pct"/>
            <w:vAlign w:val="center"/>
          </w:tcPr>
          <w:p w:rsidR="002C1D97" w:rsidRDefault="00D91711" w:rsidP="001C7801">
            <w:pPr>
              <w:jc w:val="center"/>
            </w:pPr>
            <w:r>
              <w:t>Name of the stadium</w:t>
            </w:r>
          </w:p>
        </w:tc>
        <w:tc>
          <w:tcPr>
            <w:tcW w:w="1650" w:type="pct"/>
            <w:vAlign w:val="center"/>
          </w:tcPr>
          <w:p w:rsidR="002C1D97" w:rsidRDefault="00D91711" w:rsidP="001C7801">
            <w:pPr>
              <w:jc w:val="center"/>
            </w:pPr>
            <w:r>
              <w:t>Nominal qualitative</w:t>
            </w:r>
          </w:p>
        </w:tc>
      </w:tr>
      <w:tr w:rsidR="002C1D97" w:rsidTr="001C7801">
        <w:tc>
          <w:tcPr>
            <w:tcW w:w="1650" w:type="pct"/>
            <w:vAlign w:val="center"/>
          </w:tcPr>
          <w:p w:rsidR="002C1D97" w:rsidRDefault="00D91711" w:rsidP="001C7801">
            <w:pPr>
              <w:jc w:val="center"/>
            </w:pPr>
            <w:r>
              <w:t>City</w:t>
            </w:r>
          </w:p>
        </w:tc>
        <w:tc>
          <w:tcPr>
            <w:tcW w:w="1650" w:type="pct"/>
            <w:vAlign w:val="center"/>
          </w:tcPr>
          <w:p w:rsidR="002C1D97" w:rsidRDefault="00D91711" w:rsidP="001C7801">
            <w:pPr>
              <w:jc w:val="center"/>
            </w:pPr>
            <w:r>
              <w:t>Host city of the match</w:t>
            </w:r>
          </w:p>
        </w:tc>
        <w:tc>
          <w:tcPr>
            <w:tcW w:w="1650" w:type="pct"/>
            <w:vAlign w:val="center"/>
          </w:tcPr>
          <w:p w:rsidR="002C1D97" w:rsidRDefault="00D91711" w:rsidP="001C7801">
            <w:pPr>
              <w:jc w:val="center"/>
            </w:pPr>
            <w:r>
              <w:t>Nominal qualitative</w:t>
            </w:r>
          </w:p>
        </w:tc>
      </w:tr>
      <w:tr w:rsidR="002C1D97" w:rsidTr="001C7801">
        <w:tc>
          <w:tcPr>
            <w:tcW w:w="1650" w:type="pct"/>
            <w:vAlign w:val="center"/>
          </w:tcPr>
          <w:p w:rsidR="002C1D97" w:rsidRDefault="00D91711" w:rsidP="001C7801">
            <w:pPr>
              <w:jc w:val="center"/>
            </w:pPr>
            <w:r>
              <w:t>Home.Team.Name</w:t>
            </w:r>
          </w:p>
        </w:tc>
        <w:tc>
          <w:tcPr>
            <w:tcW w:w="1650" w:type="pct"/>
            <w:vAlign w:val="center"/>
          </w:tcPr>
          <w:p w:rsidR="002C1D97" w:rsidRDefault="00D91711" w:rsidP="001C7801">
            <w:pPr>
              <w:jc w:val="center"/>
            </w:pPr>
            <w:r>
              <w:t>Name of the home team</w:t>
            </w:r>
          </w:p>
        </w:tc>
        <w:tc>
          <w:tcPr>
            <w:tcW w:w="1650" w:type="pct"/>
            <w:vAlign w:val="center"/>
          </w:tcPr>
          <w:p w:rsidR="002C1D97" w:rsidRDefault="00D91711" w:rsidP="001C7801">
            <w:pPr>
              <w:jc w:val="center"/>
            </w:pPr>
            <w:r>
              <w:t>Nominal qualitative</w:t>
            </w:r>
          </w:p>
        </w:tc>
      </w:tr>
      <w:tr w:rsidR="002C1D97" w:rsidTr="001C7801">
        <w:tc>
          <w:tcPr>
            <w:tcW w:w="1650" w:type="pct"/>
            <w:vAlign w:val="center"/>
          </w:tcPr>
          <w:p w:rsidR="002C1D97" w:rsidRDefault="00D91711" w:rsidP="001C7801">
            <w:pPr>
              <w:jc w:val="center"/>
            </w:pPr>
            <w:r>
              <w:t>Away.Team.Name</w:t>
            </w:r>
          </w:p>
        </w:tc>
        <w:tc>
          <w:tcPr>
            <w:tcW w:w="1650" w:type="pct"/>
            <w:vAlign w:val="center"/>
          </w:tcPr>
          <w:p w:rsidR="002C1D97" w:rsidRDefault="00D91711" w:rsidP="001C7801">
            <w:pPr>
              <w:jc w:val="center"/>
            </w:pPr>
            <w:r>
              <w:t>Name of the away team</w:t>
            </w:r>
          </w:p>
        </w:tc>
        <w:tc>
          <w:tcPr>
            <w:tcW w:w="1650" w:type="pct"/>
            <w:vAlign w:val="center"/>
          </w:tcPr>
          <w:p w:rsidR="002C1D97" w:rsidRDefault="00D91711" w:rsidP="001C7801">
            <w:pPr>
              <w:jc w:val="center"/>
            </w:pPr>
            <w:r>
              <w:t>Nominal qualitative</w:t>
            </w:r>
          </w:p>
        </w:tc>
      </w:tr>
      <w:tr w:rsidR="002C1D97" w:rsidTr="001C7801">
        <w:tc>
          <w:tcPr>
            <w:tcW w:w="1650" w:type="pct"/>
            <w:vAlign w:val="center"/>
          </w:tcPr>
          <w:p w:rsidR="002C1D97" w:rsidRDefault="00D91711" w:rsidP="001C7801">
            <w:pPr>
              <w:jc w:val="center"/>
            </w:pPr>
            <w:r>
              <w:t>Home.Team.Goals</w:t>
            </w:r>
          </w:p>
        </w:tc>
        <w:tc>
          <w:tcPr>
            <w:tcW w:w="1650" w:type="pct"/>
            <w:vAlign w:val="center"/>
          </w:tcPr>
          <w:p w:rsidR="002C1D97" w:rsidRDefault="00D91711" w:rsidP="001C7801">
            <w:pPr>
              <w:jc w:val="center"/>
            </w:pPr>
            <w:r>
              <w:t>Goals scored by the home team</w:t>
            </w:r>
          </w:p>
        </w:tc>
        <w:tc>
          <w:tcPr>
            <w:tcW w:w="1650" w:type="pct"/>
            <w:vAlign w:val="center"/>
          </w:tcPr>
          <w:p w:rsidR="002C1D97" w:rsidRDefault="00D91711" w:rsidP="001C7801">
            <w:pPr>
              <w:jc w:val="center"/>
            </w:pPr>
            <w:r>
              <w:t>Discrete quantitative</w:t>
            </w:r>
          </w:p>
        </w:tc>
      </w:tr>
      <w:tr w:rsidR="002C1D97" w:rsidTr="001C7801">
        <w:tc>
          <w:tcPr>
            <w:tcW w:w="1650" w:type="pct"/>
            <w:vAlign w:val="center"/>
          </w:tcPr>
          <w:p w:rsidR="002C1D97" w:rsidRDefault="00D91711" w:rsidP="001C7801">
            <w:pPr>
              <w:jc w:val="center"/>
            </w:pPr>
            <w:r>
              <w:t>Away.Team.Goals</w:t>
            </w:r>
          </w:p>
        </w:tc>
        <w:tc>
          <w:tcPr>
            <w:tcW w:w="1650" w:type="pct"/>
            <w:vAlign w:val="center"/>
          </w:tcPr>
          <w:p w:rsidR="002C1D97" w:rsidRDefault="00D91711" w:rsidP="001C7801">
            <w:pPr>
              <w:jc w:val="center"/>
            </w:pPr>
            <w:r>
              <w:t>Goals scored by the away team</w:t>
            </w:r>
          </w:p>
        </w:tc>
        <w:tc>
          <w:tcPr>
            <w:tcW w:w="1650" w:type="pct"/>
            <w:vAlign w:val="center"/>
          </w:tcPr>
          <w:p w:rsidR="002C1D97" w:rsidRDefault="00D91711" w:rsidP="001C7801">
            <w:pPr>
              <w:jc w:val="center"/>
            </w:pPr>
            <w:r>
              <w:t>Discrete quantitative</w:t>
            </w:r>
          </w:p>
        </w:tc>
      </w:tr>
      <w:tr w:rsidR="002C1D97" w:rsidTr="001C7801">
        <w:tc>
          <w:tcPr>
            <w:tcW w:w="1650" w:type="pct"/>
            <w:vAlign w:val="center"/>
          </w:tcPr>
          <w:p w:rsidR="002C1D97" w:rsidRDefault="00D91711" w:rsidP="001C7801">
            <w:pPr>
              <w:jc w:val="center"/>
            </w:pPr>
            <w:r>
              <w:t>Half.time.Home.Goals</w:t>
            </w:r>
          </w:p>
        </w:tc>
        <w:tc>
          <w:tcPr>
            <w:tcW w:w="1650" w:type="pct"/>
            <w:vAlign w:val="center"/>
          </w:tcPr>
          <w:p w:rsidR="002C1D97" w:rsidRDefault="00D91711" w:rsidP="001C7801">
            <w:pPr>
              <w:jc w:val="center"/>
            </w:pPr>
            <w:r>
              <w:t>Home team goals at halftime</w:t>
            </w:r>
          </w:p>
        </w:tc>
        <w:tc>
          <w:tcPr>
            <w:tcW w:w="1650" w:type="pct"/>
            <w:vAlign w:val="center"/>
          </w:tcPr>
          <w:p w:rsidR="002C1D97" w:rsidRDefault="00D91711" w:rsidP="001C7801">
            <w:pPr>
              <w:jc w:val="center"/>
            </w:pPr>
            <w:r>
              <w:t>Discrete quantitative</w:t>
            </w:r>
          </w:p>
        </w:tc>
      </w:tr>
      <w:tr w:rsidR="002C1D97" w:rsidTr="001C7801">
        <w:tc>
          <w:tcPr>
            <w:tcW w:w="1650" w:type="pct"/>
            <w:vAlign w:val="center"/>
          </w:tcPr>
          <w:p w:rsidR="002C1D97" w:rsidRDefault="00D91711" w:rsidP="001C7801">
            <w:pPr>
              <w:jc w:val="center"/>
            </w:pPr>
            <w:r>
              <w:t>Half.time.Away.Goals</w:t>
            </w:r>
          </w:p>
        </w:tc>
        <w:tc>
          <w:tcPr>
            <w:tcW w:w="1650" w:type="pct"/>
            <w:vAlign w:val="center"/>
          </w:tcPr>
          <w:p w:rsidR="002C1D97" w:rsidRDefault="00D91711" w:rsidP="001C7801">
            <w:pPr>
              <w:jc w:val="center"/>
            </w:pPr>
            <w:r>
              <w:t>Away team goals at halftime</w:t>
            </w:r>
          </w:p>
        </w:tc>
        <w:tc>
          <w:tcPr>
            <w:tcW w:w="1650" w:type="pct"/>
            <w:vAlign w:val="center"/>
          </w:tcPr>
          <w:p w:rsidR="002C1D97" w:rsidRDefault="00D91711" w:rsidP="001C7801">
            <w:pPr>
              <w:jc w:val="center"/>
            </w:pPr>
            <w:r>
              <w:t>Discrete quantitative</w:t>
            </w:r>
          </w:p>
        </w:tc>
      </w:tr>
      <w:tr w:rsidR="002C1D97" w:rsidTr="001C7801">
        <w:tc>
          <w:tcPr>
            <w:tcW w:w="1650" w:type="pct"/>
            <w:vAlign w:val="center"/>
          </w:tcPr>
          <w:p w:rsidR="002C1D97" w:rsidRDefault="00D91711" w:rsidP="001C7801">
            <w:pPr>
              <w:jc w:val="center"/>
            </w:pPr>
            <w:r>
              <w:t>Attendance</w:t>
            </w:r>
          </w:p>
        </w:tc>
        <w:tc>
          <w:tcPr>
            <w:tcW w:w="1650" w:type="pct"/>
            <w:vAlign w:val="center"/>
          </w:tcPr>
          <w:p w:rsidR="002C1D97" w:rsidRDefault="00D91711" w:rsidP="001C7801">
            <w:pPr>
              <w:jc w:val="center"/>
            </w:pPr>
            <w:r>
              <w:t>Attendance at the stadium</w:t>
            </w:r>
          </w:p>
        </w:tc>
        <w:tc>
          <w:tcPr>
            <w:tcW w:w="1650" w:type="pct"/>
            <w:vAlign w:val="center"/>
          </w:tcPr>
          <w:p w:rsidR="002C1D97" w:rsidRDefault="00D91711" w:rsidP="001C7801">
            <w:pPr>
              <w:jc w:val="center"/>
            </w:pPr>
            <w:r>
              <w:t>Continuous quantitative</w:t>
            </w:r>
          </w:p>
        </w:tc>
      </w:tr>
      <w:tr w:rsidR="002C1D97" w:rsidTr="001C7801">
        <w:tc>
          <w:tcPr>
            <w:tcW w:w="1650" w:type="pct"/>
            <w:vAlign w:val="center"/>
          </w:tcPr>
          <w:p w:rsidR="002C1D97" w:rsidRDefault="00D91711" w:rsidP="001C7801">
            <w:pPr>
              <w:jc w:val="center"/>
            </w:pPr>
            <w:r>
              <w:t>Win.conditions</w:t>
            </w:r>
          </w:p>
        </w:tc>
        <w:tc>
          <w:tcPr>
            <w:tcW w:w="1650" w:type="pct"/>
            <w:vAlign w:val="center"/>
          </w:tcPr>
          <w:p w:rsidR="002C1D97" w:rsidRDefault="00D91711" w:rsidP="001C7801">
            <w:pPr>
              <w:jc w:val="center"/>
            </w:pPr>
            <w:r>
              <w:t>Tiebreaker condition (penalties, extra time)</w:t>
            </w:r>
          </w:p>
        </w:tc>
        <w:tc>
          <w:tcPr>
            <w:tcW w:w="1650" w:type="pct"/>
            <w:vAlign w:val="center"/>
          </w:tcPr>
          <w:p w:rsidR="002C1D97" w:rsidRDefault="00D91711" w:rsidP="001C7801">
            <w:pPr>
              <w:jc w:val="center"/>
            </w:pPr>
            <w:r>
              <w:t>Nominal qualitative</w:t>
            </w:r>
          </w:p>
        </w:tc>
      </w:tr>
      <w:tr w:rsidR="002C1D97" w:rsidTr="001C7801">
        <w:tc>
          <w:tcPr>
            <w:tcW w:w="1650" w:type="pct"/>
            <w:vAlign w:val="center"/>
          </w:tcPr>
          <w:p w:rsidR="002C1D97" w:rsidRDefault="00D91711" w:rsidP="001C7801">
            <w:pPr>
              <w:jc w:val="center"/>
            </w:pPr>
            <w:r>
              <w:t>Referee / Assistant.1/2</w:t>
            </w:r>
          </w:p>
        </w:tc>
        <w:tc>
          <w:tcPr>
            <w:tcW w:w="1650" w:type="pct"/>
            <w:vAlign w:val="center"/>
          </w:tcPr>
          <w:p w:rsidR="002C1D97" w:rsidRDefault="00D91711" w:rsidP="001C7801">
            <w:pPr>
              <w:jc w:val="center"/>
            </w:pPr>
            <w:r>
              <w:t>Referee and assistants</w:t>
            </w:r>
          </w:p>
        </w:tc>
        <w:tc>
          <w:tcPr>
            <w:tcW w:w="1650" w:type="pct"/>
            <w:vAlign w:val="center"/>
          </w:tcPr>
          <w:p w:rsidR="002C1D97" w:rsidRDefault="00D91711" w:rsidP="001C7801">
            <w:pPr>
              <w:jc w:val="center"/>
            </w:pPr>
            <w:r>
              <w:t>Nominal qualitative</w:t>
            </w:r>
          </w:p>
        </w:tc>
      </w:tr>
      <w:tr w:rsidR="002C1D97" w:rsidTr="001C7801">
        <w:tc>
          <w:tcPr>
            <w:tcW w:w="1650" w:type="pct"/>
            <w:vAlign w:val="center"/>
          </w:tcPr>
          <w:p w:rsidR="002C1D97" w:rsidRDefault="00D91711" w:rsidP="001C7801">
            <w:pPr>
              <w:jc w:val="center"/>
            </w:pPr>
            <w:r>
              <w:t>RoundID / MatchID</w:t>
            </w:r>
          </w:p>
        </w:tc>
        <w:tc>
          <w:tcPr>
            <w:tcW w:w="1650" w:type="pct"/>
            <w:vAlign w:val="center"/>
          </w:tcPr>
          <w:p w:rsidR="002C1D97" w:rsidRDefault="00D91711" w:rsidP="001C7801">
            <w:pPr>
              <w:jc w:val="center"/>
            </w:pPr>
            <w:r>
              <w:t>Internal identifiers for the round/match</w:t>
            </w:r>
          </w:p>
        </w:tc>
        <w:tc>
          <w:tcPr>
            <w:tcW w:w="1650" w:type="pct"/>
            <w:vAlign w:val="center"/>
          </w:tcPr>
          <w:p w:rsidR="002C1D97" w:rsidRDefault="00D91711" w:rsidP="001C7801">
            <w:pPr>
              <w:jc w:val="center"/>
            </w:pPr>
            <w:r>
              <w:t>Nominal qualitative (code)</w:t>
            </w:r>
          </w:p>
        </w:tc>
      </w:tr>
      <w:tr w:rsidR="002C1D97" w:rsidTr="001C7801">
        <w:tc>
          <w:tcPr>
            <w:tcW w:w="1650" w:type="pct"/>
            <w:vAlign w:val="center"/>
          </w:tcPr>
          <w:p w:rsidR="002C1D97" w:rsidRDefault="00D91711" w:rsidP="001C7801">
            <w:pPr>
              <w:jc w:val="center"/>
            </w:pPr>
            <w:r>
              <w:t>Home/Away.Team.Initials</w:t>
            </w:r>
          </w:p>
        </w:tc>
        <w:tc>
          <w:tcPr>
            <w:tcW w:w="1650" w:type="pct"/>
            <w:vAlign w:val="center"/>
          </w:tcPr>
          <w:p w:rsidR="002C1D97" w:rsidRDefault="00D91711" w:rsidP="001C7801">
            <w:pPr>
              <w:jc w:val="center"/>
            </w:pPr>
            <w:r>
              <w:t>3-letter team abbreviation</w:t>
            </w:r>
          </w:p>
        </w:tc>
        <w:tc>
          <w:tcPr>
            <w:tcW w:w="1650" w:type="pct"/>
            <w:vAlign w:val="center"/>
          </w:tcPr>
          <w:p w:rsidR="002C1D97" w:rsidRDefault="00D91711" w:rsidP="001C7801">
            <w:pPr>
              <w:jc w:val="center"/>
            </w:pPr>
            <w:r>
              <w:t>Nominal qualitative</w:t>
            </w:r>
          </w:p>
        </w:tc>
      </w:tr>
    </w:tbl>
    <w:p w:rsidR="000E1CC2" w:rsidRDefault="00D91711" w:rsidP="000E1CC2">
      <w:pPr>
        <w:spacing w:after="160"/>
        <w:jc w:val="both"/>
        <w:rPr>
          <w:i/>
          <w:iCs/>
        </w:rPr>
      </w:pPr>
      <w:r>
        <w:rPr>
          <w:i/>
          <w:iCs/>
        </w:rPr>
        <w:t xml:space="preserve">Note: RoundID and MatchID are numeric only in format, but function as identifier codes (keys), not as quantities — therefore they are treated as nominal qualitative. The Stage variable is ordinal because there is a logical order of progression in the tournament (group stage → </w:t>
      </w:r>
      <w:proofErr w:type="gramStart"/>
      <w:r>
        <w:rPr>
          <w:i/>
          <w:iCs/>
        </w:rPr>
        <w:t>round</w:t>
      </w:r>
      <w:proofErr w:type="gramEnd"/>
      <w:r>
        <w:rPr>
          <w:i/>
          <w:iCs/>
        </w:rPr>
        <w:t xml:space="preserve"> of 16 → quarterfinals → semifinal → final).</w:t>
      </w:r>
    </w:p>
    <w:p w:rsidR="002C1D97" w:rsidRDefault="00D91711" w:rsidP="000E1CC2">
      <w:pPr>
        <w:pStyle w:val="Ttulo2"/>
      </w:pPr>
      <w:proofErr w:type="spellStart"/>
      <w:r>
        <w:t>Stage</w:t>
      </w:r>
      <w:proofErr w:type="spellEnd"/>
      <w:r>
        <w:t xml:space="preserve"> 2 — Data Audit</w:t>
      </w:r>
    </w:p>
    <w:p w:rsidR="002C1D97" w:rsidRDefault="00D91711" w:rsidP="00BF2275">
      <w:pPr>
        <w:pBdr>
          <w:top w:val="single" w:sz="2" w:space="2"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6"/>
          <w:szCs w:val="16"/>
        </w:rPr>
        <w:t xml:space="preserve"># </w:t>
      </w:r>
      <w:proofErr w:type="spellStart"/>
      <w:r>
        <w:rPr>
          <w:rFonts w:ascii="Consolas" w:eastAsia="Consolas" w:hAnsi="Consolas" w:cs="Consolas"/>
          <w:sz w:val="16"/>
          <w:szCs w:val="16"/>
        </w:rPr>
        <w:t>Missing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values</w:t>
      </w:r>
      <w:proofErr w:type="spellEnd"/>
      <w:r>
        <w:rPr>
          <w:rFonts w:ascii="Consolas" w:eastAsia="Consolas" w:hAnsi="Consolas" w:cs="Consolas"/>
          <w:sz w:val="16"/>
          <w:szCs w:val="16"/>
        </w:rPr>
        <w:br/>
      </w:r>
      <w:proofErr w:type="spellStart"/>
      <w:proofErr w:type="gramStart"/>
      <w:r>
        <w:rPr>
          <w:rFonts w:ascii="Consolas" w:eastAsia="Consolas" w:hAnsi="Consolas" w:cs="Consolas"/>
          <w:sz w:val="16"/>
          <w:szCs w:val="16"/>
        </w:rPr>
        <w:t>print</w:t>
      </w:r>
      <w:proofErr w:type="spellEnd"/>
      <w:r>
        <w:rPr>
          <w:rFonts w:ascii="Consolas" w:eastAsia="Consolas" w:hAnsi="Consolas" w:cs="Consolas"/>
          <w:sz w:val="16"/>
          <w:szCs w:val="16"/>
        </w:rPr>
        <w:t>(</w:t>
      </w:r>
      <w:proofErr w:type="spellStart"/>
      <w:proofErr w:type="gramEnd"/>
      <w:r>
        <w:rPr>
          <w:rFonts w:ascii="Consolas" w:eastAsia="Consolas" w:hAnsi="Consolas" w:cs="Consolas"/>
          <w:sz w:val="16"/>
          <w:szCs w:val="16"/>
        </w:rPr>
        <w:t>df.isnull</w:t>
      </w:r>
      <w:proofErr w:type="spellEnd"/>
      <w:r>
        <w:rPr>
          <w:rFonts w:ascii="Consolas" w:eastAsia="Consolas" w:hAnsi="Consolas" w:cs="Consolas"/>
          <w:sz w:val="16"/>
          <w:szCs w:val="16"/>
        </w:rPr>
        <w:t>().sum())</w:t>
      </w:r>
      <w:r>
        <w:rPr>
          <w:rFonts w:ascii="Consolas" w:eastAsia="Consolas" w:hAnsi="Consolas" w:cs="Consolas"/>
          <w:sz w:val="16"/>
          <w:szCs w:val="16"/>
        </w:rPr>
        <w:br/>
      </w:r>
      <w:r>
        <w:rPr>
          <w:rFonts w:ascii="Consolas" w:eastAsia="Consolas" w:hAnsi="Consolas" w:cs="Consolas"/>
          <w:sz w:val="16"/>
          <w:szCs w:val="16"/>
        </w:rPr>
        <w:br/>
        <w:t># Duplicates</w:t>
      </w:r>
      <w:r>
        <w:rPr>
          <w:rFonts w:ascii="Consolas" w:eastAsia="Consolas" w:hAnsi="Consolas" w:cs="Consolas"/>
          <w:sz w:val="16"/>
          <w:szCs w:val="16"/>
        </w:rPr>
        <w:br/>
        <w:t>print(df.duplicated().sum())</w:t>
      </w:r>
      <w:r>
        <w:rPr>
          <w:rFonts w:ascii="Consolas" w:eastAsia="Consolas" w:hAnsi="Consolas" w:cs="Consolas"/>
          <w:sz w:val="16"/>
          <w:szCs w:val="16"/>
        </w:rPr>
        <w:br/>
        <w:t>print(df.duplicated(subset=["MatchID"], keep=False).sum())</w:t>
      </w:r>
      <w:r>
        <w:rPr>
          <w:rFonts w:ascii="Consolas" w:eastAsia="Consolas" w:hAnsi="Consolas" w:cs="Consolas"/>
          <w:sz w:val="16"/>
          <w:szCs w:val="16"/>
        </w:rPr>
        <w:br/>
      </w:r>
      <w:r>
        <w:rPr>
          <w:rFonts w:ascii="Consolas" w:eastAsia="Consolas" w:hAnsi="Consolas" w:cs="Consolas"/>
          <w:sz w:val="16"/>
          <w:szCs w:val="16"/>
        </w:rPr>
        <w:br/>
        <w:t># Inconsistencies: halftime goals greater than final goals</w:t>
      </w:r>
      <w:r>
        <w:rPr>
          <w:rFonts w:ascii="Consolas" w:eastAsia="Consolas" w:hAnsi="Consolas" w:cs="Consolas"/>
          <w:sz w:val="16"/>
          <w:szCs w:val="16"/>
        </w:rPr>
        <w:br/>
        <w:t>inc_home = df[df["Half.time.Home.Goals"] &gt; df["Home.Team.Goals"]]</w:t>
      </w:r>
      <w:r>
        <w:rPr>
          <w:rFonts w:ascii="Consolas" w:eastAsia="Consolas" w:hAnsi="Consolas" w:cs="Consolas"/>
          <w:sz w:val="16"/>
          <w:szCs w:val="16"/>
        </w:rPr>
        <w:br/>
        <w:t>inc_away = df[df["Half.time.Away.Goals"] &gt; df["Away.Team.Goals"]]</w:t>
      </w:r>
      <w:r>
        <w:rPr>
          <w:rFonts w:ascii="Consolas" w:eastAsia="Consolas" w:hAnsi="Consolas" w:cs="Consolas"/>
          <w:sz w:val="16"/>
          <w:szCs w:val="16"/>
        </w:rPr>
        <w:br/>
      </w:r>
      <w:r>
        <w:rPr>
          <w:rFonts w:ascii="Consolas" w:eastAsia="Consolas" w:hAnsi="Consolas" w:cs="Consolas"/>
          <w:sz w:val="16"/>
          <w:szCs w:val="16"/>
        </w:rPr>
        <w:br/>
        <w:t># Attendance outliers via IQR</w:t>
      </w:r>
      <w:r>
        <w:rPr>
          <w:rFonts w:ascii="Consolas" w:eastAsia="Consolas" w:hAnsi="Consolas" w:cs="Consolas"/>
          <w:sz w:val="16"/>
          <w:szCs w:val="16"/>
        </w:rPr>
        <w:br/>
        <w:t>q1, q3 = df["Attendance"].quantile([0.25, 0.75])</w:t>
      </w:r>
      <w:r>
        <w:rPr>
          <w:rFonts w:ascii="Consolas" w:eastAsia="Consolas" w:hAnsi="Consolas" w:cs="Consolas"/>
          <w:sz w:val="16"/>
          <w:szCs w:val="16"/>
        </w:rPr>
        <w:br/>
        <w:t>iqr = q3 - q1</w:t>
      </w:r>
      <w:r>
        <w:rPr>
          <w:rFonts w:ascii="Consolas" w:eastAsia="Consolas" w:hAnsi="Consolas" w:cs="Consolas"/>
          <w:sz w:val="16"/>
          <w:szCs w:val="16"/>
        </w:rPr>
        <w:br/>
        <w:t>lim_sup = q3 + 1.5*iqr</w:t>
      </w:r>
      <w:r>
        <w:rPr>
          <w:rFonts w:ascii="Consolas" w:eastAsia="Consolas" w:hAnsi="Consolas" w:cs="Consolas"/>
          <w:sz w:val="16"/>
          <w:szCs w:val="16"/>
        </w:rPr>
        <w:br/>
        <w:t>outliers = df[df["Attendance"] &gt; lim_sup]</w:t>
      </w:r>
    </w:p>
    <w:p w:rsidR="002C1D97" w:rsidRDefault="00D91711" w:rsidP="00C04760">
      <w:pPr>
        <w:pStyle w:val="Ttulo2"/>
        <w:spacing w:before="300" w:after="150"/>
        <w:jc w:val="both"/>
      </w:pPr>
      <w:r>
        <w:lastRenderedPageBreak/>
        <w:t xml:space="preserve">2.1 </w:t>
      </w:r>
      <w:proofErr w:type="spellStart"/>
      <w:r>
        <w:t>Missing</w:t>
      </w:r>
      <w:proofErr w:type="spellEnd"/>
      <w:r>
        <w:t xml:space="preserve"> </w:t>
      </w:r>
      <w:proofErr w:type="spellStart"/>
      <w:r>
        <w:t>Values</w:t>
      </w:r>
      <w:proofErr w:type="spellEnd"/>
    </w:p>
    <w:p w:rsidR="002C1D97" w:rsidRDefault="00D91711" w:rsidP="00C04760">
      <w:pPr>
        <w:spacing w:after="160"/>
        <w:jc w:val="both"/>
      </w:pPr>
      <w:proofErr w:type="spellStart"/>
      <w:r>
        <w:t>There</w:t>
      </w:r>
      <w:proofErr w:type="spellEnd"/>
      <w:r>
        <w:t xml:space="preserve"> are no </w:t>
      </w:r>
      <w:proofErr w:type="spellStart"/>
      <w:r>
        <w:t>null</w:t>
      </w:r>
      <w:proofErr w:type="spellEnd"/>
      <w:r>
        <w:t xml:space="preserve"> values (</w:t>
      </w:r>
      <w:proofErr w:type="gramStart"/>
      <w:r>
        <w:t>NaN</w:t>
      </w:r>
      <w:proofErr w:type="gramEnd"/>
      <w:r>
        <w:t>) in any of the 21 columns. This is common in historical datasets manually consolidated by curators, but it does not mean the absence of quality issues — as the following items show, ‘filled-in’ data can still be incorrect or duplicated.</w:t>
      </w:r>
    </w:p>
    <w:p w:rsidR="002C1D97" w:rsidRDefault="00D91711" w:rsidP="00C04760">
      <w:pPr>
        <w:pStyle w:val="Ttulo2"/>
        <w:spacing w:before="300" w:after="150"/>
        <w:jc w:val="both"/>
      </w:pPr>
      <w:r>
        <w:t>2.2 Duplicate Records</w:t>
      </w:r>
    </w:p>
    <w:p w:rsidR="002C1D97" w:rsidRDefault="00D91711" w:rsidP="00C04760">
      <w:pPr>
        <w:spacing w:after="160"/>
        <w:jc w:val="both"/>
      </w:pPr>
      <w:r>
        <w:t>A naive check for identical rows (df.duplicated()) finds no duplicates, since the ‘Unnamed: 0’ column functions as a unique sequential index. However, when checking for duplicates by the match identifier (MatchID) — the actual key of the match — we found 15 duplicated matches (30 rows), all concentrated in the 2014 World Cup. Comparing these rows across all other columns, they are byte-for-byte identical, confirming a data loading/export error rather than rescheduled matches. Furthermore, even after removing the duplicates, the 2014 World Cup shows only 63 unique matches, when the 32-team format (the same as 1998–2010) should produce 64 games — an indication that at least one match is missing from the dataset.</w:t>
      </w:r>
    </w:p>
    <w:p w:rsidR="002C1D97" w:rsidRDefault="00D91711" w:rsidP="00C04760">
      <w:pPr>
        <w:spacing w:after="160"/>
        <w:jc w:val="both"/>
      </w:pPr>
      <w:r>
        <w:t>Recommended strategy: remove the 30 duplicated rows, keeping only one occurrence per MatchID (df.drop_duplicates(subset='MatchID')), and document the missing 2014 match as a known limitation of the dataset.</w:t>
      </w:r>
    </w:p>
    <w:p w:rsidR="002C1D97" w:rsidRDefault="00D91711" w:rsidP="00C04760">
      <w:pPr>
        <w:pStyle w:val="Ttulo2"/>
        <w:spacing w:before="300" w:after="150"/>
        <w:jc w:val="both"/>
      </w:pPr>
      <w:r>
        <w:t>2.3 Logical Inconsistencies</w:t>
      </w:r>
    </w:p>
    <w:p w:rsidR="002C1D97" w:rsidRDefault="00D91711" w:rsidP="00C04760">
      <w:pPr>
        <w:spacing w:after="160"/>
        <w:jc w:val="both"/>
      </w:pPr>
      <w:r>
        <w:t>A test was performed to check whether the halftime score (Half.time.Goals) could exceed the final score — which would be logically impossible, since the final score is cumulative. No inconsistency of this type was found, suggesting good referential integrity between these columns. There are also no attendance values equal to zero or negative. Another textual inconsistency noted informally: the Win.conditions column mixes, within the same column, the winner's name with the winning condition (e.g., ‘Germany FR win on penalties (4-1)’), making direct use of the column difficult — ideally it should be split into two variables: ‘tiebreak_winner’ and ‘tiebreak_type’.</w:t>
      </w:r>
    </w:p>
    <w:p w:rsidR="002C1D97" w:rsidRDefault="00D91711" w:rsidP="00C04760">
      <w:pPr>
        <w:pStyle w:val="Ttulo2"/>
        <w:spacing w:before="300" w:after="150"/>
        <w:jc w:val="both"/>
      </w:pPr>
      <w:r>
        <w:t>2.4 Outliers</w:t>
      </w:r>
    </w:p>
    <w:p w:rsidR="002C1D97" w:rsidRDefault="00D91711" w:rsidP="00C04760">
      <w:pPr>
        <w:spacing w:after="160"/>
        <w:jc w:val="both"/>
      </w:pPr>
      <w:r>
        <w:t>Using the 1.5×IQR criterion, 10 matches show attendance above the upper limit (~108 thousand spectators), almost all games played at Azteca Stadium (Mexico) or Maracanã (Brazil), stadiums historically known for their exceptional capacities — these are not typos, but genuine extreme values reflecting the reality of these venues. In terms of goal counts, three matches stand out as outlier candidates: Hungary 9x0 South Korea (1954), Yugoslavia 9x0 Zaire (1974), and Hungary 10x1 El Salvador (1982). These are documented, real historic blowouts, and therefore should be kept in the analysis — legitimate outliers should not be removed, only flagged, as they represent true extreme events rather than measurement errors.</w:t>
      </w:r>
    </w:p>
    <w:p w:rsidR="002C1D97" w:rsidRDefault="00D91711" w:rsidP="00C04760">
      <w:pPr>
        <w:pStyle w:val="Ttulo1"/>
        <w:spacing w:before="400" w:after="200"/>
        <w:jc w:val="both"/>
      </w:pPr>
      <w:r>
        <w:t>Stage 3 — Univariate Analysis</w:t>
      </w:r>
    </w:p>
    <w:p w:rsidR="000E1CC2" w:rsidRDefault="00D91711" w:rsidP="000E1CC2">
      <w:pPr>
        <w:pBdr>
          <w:top w:val="single" w:sz="2" w:space="0" w:color="CCCCCC"/>
          <w:left w:val="single" w:sz="2" w:space="0" w:color="CCCCCC"/>
          <w:bottom w:val="single" w:sz="2" w:space="0" w:color="CCCCCC"/>
          <w:right w:val="single" w:sz="2" w:space="0" w:color="CCCCCC"/>
        </w:pBdr>
        <w:shd w:val="clear" w:color="auto" w:fill="F2F2F2"/>
        <w:spacing w:before="100" w:after="200"/>
        <w:rPr>
          <w:rFonts w:ascii="Consolas" w:eastAsia="Consolas" w:hAnsi="Consolas" w:cs="Consolas"/>
          <w:sz w:val="16"/>
          <w:szCs w:val="16"/>
        </w:rPr>
      </w:pPr>
      <w:proofErr w:type="gramStart"/>
      <w:r>
        <w:rPr>
          <w:rFonts w:ascii="Consolas" w:eastAsia="Consolas" w:hAnsi="Consolas" w:cs="Consolas"/>
          <w:sz w:val="16"/>
          <w:szCs w:val="16"/>
        </w:rPr>
        <w:t>num_vars</w:t>
      </w:r>
      <w:proofErr w:type="gramEnd"/>
      <w:r>
        <w:rPr>
          <w:rFonts w:ascii="Consolas" w:eastAsia="Consolas" w:hAnsi="Consolas" w:cs="Consolas"/>
          <w:sz w:val="16"/>
          <w:szCs w:val="16"/>
        </w:rPr>
        <w:t xml:space="preserve"> = ["Home.Team.Goals","Away.Team.Goals","Attendance",</w:t>
      </w:r>
      <w:r>
        <w:rPr>
          <w:rFonts w:ascii="Consolas" w:eastAsia="Consolas" w:hAnsi="Consolas" w:cs="Consolas"/>
          <w:sz w:val="16"/>
          <w:szCs w:val="16"/>
        </w:rPr>
        <w:br/>
        <w:t xml:space="preserve">            "Half.time.Home.Goals","Half.time.Away.Goals"]</w:t>
      </w:r>
      <w:r>
        <w:rPr>
          <w:rFonts w:ascii="Consolas" w:eastAsia="Consolas" w:hAnsi="Consolas" w:cs="Consolas"/>
          <w:sz w:val="16"/>
          <w:szCs w:val="16"/>
        </w:rPr>
        <w:br/>
      </w:r>
      <w:r>
        <w:rPr>
          <w:rFonts w:ascii="Consolas" w:eastAsia="Consolas" w:hAnsi="Consolas" w:cs="Consolas"/>
          <w:sz w:val="16"/>
          <w:szCs w:val="16"/>
        </w:rPr>
        <w:br/>
        <w:t>resumo = pd.DataFrame({</w:t>
      </w:r>
      <w:r>
        <w:rPr>
          <w:rFonts w:ascii="Consolas" w:eastAsia="Consolas" w:hAnsi="Consolas" w:cs="Consolas"/>
          <w:sz w:val="16"/>
          <w:szCs w:val="16"/>
        </w:rPr>
        <w:br/>
        <w:t xml:space="preserve">    "media": df[num_vars].mean(),</w:t>
      </w:r>
      <w:r>
        <w:rPr>
          <w:rFonts w:ascii="Consolas" w:eastAsia="Consolas" w:hAnsi="Consolas" w:cs="Consolas"/>
          <w:sz w:val="16"/>
          <w:szCs w:val="16"/>
        </w:rPr>
        <w:br/>
        <w:t xml:space="preserve">    "mediana": df[num_vars].median(),</w:t>
      </w:r>
      <w:r>
        <w:rPr>
          <w:rFonts w:ascii="Consolas" w:eastAsia="Consolas" w:hAnsi="Consolas" w:cs="Consolas"/>
          <w:sz w:val="16"/>
          <w:szCs w:val="16"/>
        </w:rPr>
        <w:br/>
        <w:t xml:space="preserve">    "moda": df[num_vars].mode().iloc[0],</w:t>
      </w:r>
      <w:r>
        <w:rPr>
          <w:rFonts w:ascii="Consolas" w:eastAsia="Consolas" w:hAnsi="Consolas" w:cs="Consolas"/>
          <w:sz w:val="16"/>
          <w:szCs w:val="16"/>
        </w:rPr>
        <w:br/>
        <w:t xml:space="preserve">    "variancia": df[num_vars].var(),</w:t>
      </w:r>
      <w:r>
        <w:rPr>
          <w:rFonts w:ascii="Consolas" w:eastAsia="Consolas" w:hAnsi="Consolas" w:cs="Consolas"/>
          <w:sz w:val="16"/>
          <w:szCs w:val="16"/>
        </w:rPr>
        <w:br/>
        <w:t xml:space="preserve">    "desvio_padrao": df[num_vars].std(),</w:t>
      </w:r>
      <w:r>
        <w:rPr>
          <w:rFonts w:ascii="Consolas" w:eastAsia="Consolas" w:hAnsi="Consolas" w:cs="Consolas"/>
          <w:sz w:val="16"/>
          <w:szCs w:val="16"/>
        </w:rPr>
        <w:br/>
        <w:t xml:space="preserve">    "cv_%": df[num_vars].std()/df[num_vars].mean()*100,</w:t>
      </w:r>
      <w:r>
        <w:rPr>
          <w:rFonts w:ascii="Consolas" w:eastAsia="Consolas" w:hAnsi="Consolas" w:cs="Consolas"/>
          <w:sz w:val="16"/>
          <w:szCs w:val="16"/>
        </w:rPr>
        <w:br/>
        <w:t xml:space="preserve">    "assimetria": df[num_vars].skew(),</w:t>
      </w:r>
      <w:r>
        <w:rPr>
          <w:rFonts w:ascii="Consolas" w:eastAsia="Consolas" w:hAnsi="Consolas" w:cs="Consolas"/>
          <w:sz w:val="16"/>
          <w:szCs w:val="16"/>
        </w:rPr>
        <w:br/>
        <w:t xml:space="preserve">    "q1": df[num_vars].quantile(.25),</w:t>
      </w:r>
      <w:r>
        <w:rPr>
          <w:rFonts w:ascii="Consolas" w:eastAsia="Consolas" w:hAnsi="Consolas" w:cs="Consolas"/>
          <w:sz w:val="16"/>
          <w:szCs w:val="16"/>
        </w:rPr>
        <w:br/>
        <w:t xml:space="preserve">    "q3": df[num_vars].quantile(.75),</w:t>
      </w:r>
      <w:r>
        <w:rPr>
          <w:rFonts w:ascii="Consolas" w:eastAsia="Consolas" w:hAnsi="Consolas" w:cs="Consolas"/>
          <w:sz w:val="16"/>
          <w:szCs w:val="16"/>
        </w:rPr>
        <w:br/>
        <w:t>})</w:t>
      </w:r>
      <w:r>
        <w:rPr>
          <w:rFonts w:ascii="Consolas" w:eastAsia="Consolas" w:hAnsi="Consolas" w:cs="Consolas"/>
          <w:sz w:val="16"/>
          <w:szCs w:val="16"/>
        </w:rPr>
        <w:br/>
      </w:r>
      <w:r>
        <w:rPr>
          <w:rFonts w:ascii="Consolas" w:eastAsia="Consolas" w:hAnsi="Consolas" w:cs="Consolas"/>
          <w:sz w:val="16"/>
          <w:szCs w:val="16"/>
        </w:rPr>
        <w:br/>
        <w:t xml:space="preserve">sns.histplot(df[col], kde=True)   # for </w:t>
      </w:r>
      <w:proofErr w:type="spellStart"/>
      <w:r>
        <w:rPr>
          <w:rFonts w:ascii="Consolas" w:eastAsia="Consolas" w:hAnsi="Consolas" w:cs="Consolas"/>
          <w:sz w:val="16"/>
          <w:szCs w:val="16"/>
        </w:rPr>
        <w:t>each</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variable</w:t>
      </w:r>
      <w:proofErr w:type="spellEnd"/>
      <w:r>
        <w:rPr>
          <w:rFonts w:ascii="Consolas" w:eastAsia="Consolas" w:hAnsi="Consolas" w:cs="Consolas"/>
          <w:sz w:val="16"/>
          <w:szCs w:val="16"/>
        </w:rPr>
        <w:br/>
      </w:r>
      <w:proofErr w:type="spellStart"/>
      <w:r>
        <w:rPr>
          <w:rFonts w:ascii="Consolas" w:eastAsia="Consolas" w:hAnsi="Consolas" w:cs="Consolas"/>
          <w:sz w:val="16"/>
          <w:szCs w:val="16"/>
        </w:rPr>
        <w:t>sns.boxplot</w:t>
      </w:r>
      <w:proofErr w:type="spellEnd"/>
      <w:r>
        <w:rPr>
          <w:rFonts w:ascii="Consolas" w:eastAsia="Consolas" w:hAnsi="Consolas" w:cs="Consolas"/>
          <w:sz w:val="16"/>
          <w:szCs w:val="16"/>
        </w:rPr>
        <w:t>(y=</w:t>
      </w:r>
      <w:proofErr w:type="spellStart"/>
      <w:r>
        <w:rPr>
          <w:rFonts w:ascii="Consolas" w:eastAsia="Consolas" w:hAnsi="Consolas" w:cs="Consolas"/>
          <w:sz w:val="16"/>
          <w:szCs w:val="16"/>
        </w:rPr>
        <w:t>df</w:t>
      </w:r>
      <w:proofErr w:type="spellEnd"/>
      <w:r>
        <w:rPr>
          <w:rFonts w:ascii="Consolas" w:eastAsia="Consolas" w:hAnsi="Consolas" w:cs="Consolas"/>
          <w:sz w:val="16"/>
          <w:szCs w:val="16"/>
        </w:rPr>
        <w:t>[</w:t>
      </w:r>
      <w:proofErr w:type="spellStart"/>
      <w:r>
        <w:rPr>
          <w:rFonts w:ascii="Consolas" w:eastAsia="Consolas" w:hAnsi="Consolas" w:cs="Consolas"/>
          <w:sz w:val="16"/>
          <w:szCs w:val="16"/>
        </w:rPr>
        <w:t>col</w:t>
      </w:r>
      <w:proofErr w:type="spellEnd"/>
      <w:r>
        <w:rPr>
          <w:rFonts w:ascii="Consolas" w:eastAsia="Consolas" w:hAnsi="Consolas" w:cs="Consolas"/>
          <w:sz w:val="16"/>
          <w:szCs w:val="16"/>
        </w:rPr>
        <w:t>])</w:t>
      </w:r>
    </w:p>
    <w:p w:rsidR="000E1CC2" w:rsidRDefault="000E1CC2" w:rsidP="000E1CC2">
      <w:pPr>
        <w:pBdr>
          <w:top w:val="single" w:sz="2" w:space="0" w:color="CCCCCC"/>
          <w:left w:val="single" w:sz="2" w:space="0" w:color="CCCCCC"/>
          <w:bottom w:val="single" w:sz="2" w:space="0" w:color="CCCCCC"/>
          <w:right w:val="single" w:sz="2" w:space="0" w:color="CCCCCC"/>
        </w:pBdr>
        <w:shd w:val="clear" w:color="auto" w:fill="F2F2F2"/>
        <w:spacing w:before="100" w:after="200"/>
        <w:rPr>
          <w:rFonts w:ascii="Consolas" w:eastAsia="Consolas" w:hAnsi="Consolas" w:cs="Consolas"/>
          <w:sz w:val="16"/>
          <w:szCs w:val="16"/>
        </w:rPr>
      </w:pPr>
    </w:p>
    <w:p w:rsidR="000E1CC2" w:rsidRPr="000E1CC2" w:rsidRDefault="000E1CC2" w:rsidP="000E1CC2">
      <w:pPr>
        <w:pBdr>
          <w:top w:val="single" w:sz="2" w:space="0" w:color="CCCCCC"/>
          <w:left w:val="single" w:sz="2" w:space="0" w:color="CCCCCC"/>
          <w:bottom w:val="single" w:sz="2" w:space="0" w:color="CCCCCC"/>
          <w:right w:val="single" w:sz="2" w:space="0" w:color="CCCCCC"/>
        </w:pBdr>
        <w:shd w:val="clear" w:color="auto" w:fill="F2F2F2"/>
        <w:spacing w:before="100" w:after="200"/>
        <w:rPr>
          <w:rFonts w:ascii="Consolas" w:eastAsia="Consolas" w:hAnsi="Consolas" w:cs="Consolas"/>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
        <w:gridCol w:w="1004"/>
        <w:gridCol w:w="1006"/>
        <w:gridCol w:w="1006"/>
        <w:gridCol w:w="1006"/>
        <w:gridCol w:w="1006"/>
        <w:gridCol w:w="1006"/>
        <w:gridCol w:w="1006"/>
        <w:gridCol w:w="1002"/>
      </w:tblGrid>
      <w:tr w:rsidR="0009215A" w:rsidTr="0009215A">
        <w:trPr>
          <w:jc w:val="center"/>
        </w:trPr>
        <w:tc>
          <w:tcPr>
            <w:tcW w:w="555" w:type="pct"/>
            <w:shd w:val="clear" w:color="auto" w:fill="DDEBF7"/>
            <w:vAlign w:val="center"/>
          </w:tcPr>
          <w:p w:rsidR="0009215A" w:rsidRDefault="0009215A" w:rsidP="0009215A">
            <w:pPr>
              <w:jc w:val="center"/>
            </w:pPr>
            <w:proofErr w:type="spellStart"/>
            <w:r>
              <w:rPr>
                <w:b/>
                <w:bCs/>
              </w:rPr>
              <w:lastRenderedPageBreak/>
              <w:t>Variable</w:t>
            </w:r>
            <w:proofErr w:type="spellEnd"/>
          </w:p>
        </w:tc>
        <w:tc>
          <w:tcPr>
            <w:tcW w:w="555" w:type="pct"/>
            <w:shd w:val="clear" w:color="auto" w:fill="DDEBF7"/>
            <w:vAlign w:val="center"/>
          </w:tcPr>
          <w:p w:rsidR="0009215A" w:rsidRDefault="0009215A" w:rsidP="0009215A">
            <w:pPr>
              <w:jc w:val="center"/>
            </w:pPr>
            <w:r>
              <w:rPr>
                <w:b/>
                <w:bCs/>
              </w:rPr>
              <w:t>Mean</w:t>
            </w:r>
          </w:p>
        </w:tc>
        <w:tc>
          <w:tcPr>
            <w:tcW w:w="556" w:type="pct"/>
            <w:shd w:val="clear" w:color="auto" w:fill="DDEBF7"/>
            <w:vAlign w:val="center"/>
          </w:tcPr>
          <w:p w:rsidR="0009215A" w:rsidRDefault="0009215A" w:rsidP="0009215A">
            <w:pPr>
              <w:jc w:val="center"/>
            </w:pPr>
            <w:r>
              <w:rPr>
                <w:b/>
                <w:bCs/>
              </w:rPr>
              <w:t>Median</w:t>
            </w:r>
          </w:p>
        </w:tc>
        <w:tc>
          <w:tcPr>
            <w:tcW w:w="556" w:type="pct"/>
            <w:shd w:val="clear" w:color="auto" w:fill="DDEBF7"/>
            <w:vAlign w:val="center"/>
          </w:tcPr>
          <w:p w:rsidR="0009215A" w:rsidRDefault="0009215A" w:rsidP="0009215A">
            <w:pPr>
              <w:jc w:val="center"/>
            </w:pPr>
            <w:r>
              <w:rPr>
                <w:b/>
                <w:bCs/>
              </w:rPr>
              <w:t>Mode</w:t>
            </w:r>
          </w:p>
        </w:tc>
        <w:tc>
          <w:tcPr>
            <w:tcW w:w="556" w:type="pct"/>
            <w:shd w:val="clear" w:color="auto" w:fill="DDEBF7"/>
            <w:vAlign w:val="center"/>
          </w:tcPr>
          <w:p w:rsidR="0009215A" w:rsidRDefault="0009215A" w:rsidP="0009215A">
            <w:pPr>
              <w:jc w:val="center"/>
            </w:pPr>
            <w:r>
              <w:rPr>
                <w:b/>
                <w:bCs/>
              </w:rPr>
              <w:t>SD</w:t>
            </w:r>
          </w:p>
        </w:tc>
        <w:tc>
          <w:tcPr>
            <w:tcW w:w="556" w:type="pct"/>
            <w:shd w:val="clear" w:color="auto" w:fill="DDEBF7"/>
            <w:vAlign w:val="center"/>
          </w:tcPr>
          <w:p w:rsidR="0009215A" w:rsidRDefault="0009215A" w:rsidP="0009215A">
            <w:pPr>
              <w:jc w:val="center"/>
            </w:pPr>
            <w:r>
              <w:rPr>
                <w:b/>
                <w:bCs/>
              </w:rPr>
              <w:t>CV%</w:t>
            </w:r>
          </w:p>
        </w:tc>
        <w:tc>
          <w:tcPr>
            <w:tcW w:w="556" w:type="pct"/>
            <w:shd w:val="clear" w:color="auto" w:fill="DDEBF7"/>
            <w:vAlign w:val="center"/>
          </w:tcPr>
          <w:p w:rsidR="0009215A" w:rsidRDefault="0009215A" w:rsidP="0009215A">
            <w:pPr>
              <w:jc w:val="center"/>
            </w:pPr>
            <w:r>
              <w:rPr>
                <w:b/>
                <w:bCs/>
              </w:rPr>
              <w:t>Skewness</w:t>
            </w:r>
          </w:p>
        </w:tc>
        <w:tc>
          <w:tcPr>
            <w:tcW w:w="556" w:type="pct"/>
            <w:shd w:val="clear" w:color="auto" w:fill="DDEBF7"/>
            <w:vAlign w:val="center"/>
          </w:tcPr>
          <w:p w:rsidR="0009215A" w:rsidRDefault="0009215A" w:rsidP="0009215A">
            <w:pPr>
              <w:jc w:val="center"/>
              <w:rPr>
                <w:b/>
                <w:bCs/>
              </w:rPr>
            </w:pPr>
            <w:r>
              <w:rPr>
                <w:b/>
                <w:bCs/>
              </w:rPr>
              <w:t>Q1</w:t>
            </w:r>
          </w:p>
        </w:tc>
        <w:tc>
          <w:tcPr>
            <w:tcW w:w="554" w:type="pct"/>
            <w:shd w:val="clear" w:color="auto" w:fill="DDEBF7"/>
            <w:vAlign w:val="center"/>
          </w:tcPr>
          <w:p w:rsidR="0009215A" w:rsidRDefault="0009215A" w:rsidP="0009215A">
            <w:pPr>
              <w:jc w:val="center"/>
              <w:rPr>
                <w:b/>
                <w:bCs/>
              </w:rPr>
            </w:pPr>
            <w:r>
              <w:rPr>
                <w:b/>
                <w:bCs/>
              </w:rPr>
              <w:t>Q3</w:t>
            </w:r>
          </w:p>
        </w:tc>
      </w:tr>
      <w:tr w:rsidR="0009215A" w:rsidTr="0009215A">
        <w:trPr>
          <w:jc w:val="center"/>
        </w:trPr>
        <w:tc>
          <w:tcPr>
            <w:tcW w:w="555" w:type="pct"/>
            <w:vAlign w:val="center"/>
          </w:tcPr>
          <w:p w:rsidR="0009215A" w:rsidRDefault="0009215A" w:rsidP="0009215A">
            <w:pPr>
              <w:jc w:val="center"/>
            </w:pPr>
            <w:r>
              <w:t xml:space="preserve">Home </w:t>
            </w:r>
            <w:proofErr w:type="spellStart"/>
            <w:r>
              <w:t>Goals</w:t>
            </w:r>
            <w:proofErr w:type="spellEnd"/>
          </w:p>
        </w:tc>
        <w:tc>
          <w:tcPr>
            <w:tcW w:w="555" w:type="pct"/>
            <w:vAlign w:val="center"/>
          </w:tcPr>
          <w:p w:rsidR="0009215A" w:rsidRDefault="0009215A" w:rsidP="0009215A">
            <w:pPr>
              <w:jc w:val="center"/>
            </w:pPr>
            <w:r>
              <w:t>1.81</w:t>
            </w:r>
          </w:p>
        </w:tc>
        <w:tc>
          <w:tcPr>
            <w:tcW w:w="556" w:type="pct"/>
            <w:vAlign w:val="center"/>
          </w:tcPr>
          <w:p w:rsidR="0009215A" w:rsidRDefault="0009215A" w:rsidP="0009215A">
            <w:pPr>
              <w:jc w:val="center"/>
            </w:pPr>
            <w:r>
              <w:t>2</w:t>
            </w:r>
          </w:p>
        </w:tc>
        <w:tc>
          <w:tcPr>
            <w:tcW w:w="556" w:type="pct"/>
            <w:vAlign w:val="center"/>
          </w:tcPr>
          <w:p w:rsidR="0009215A" w:rsidRDefault="0009215A" w:rsidP="0009215A">
            <w:pPr>
              <w:jc w:val="center"/>
            </w:pPr>
            <w:r>
              <w:t>1</w:t>
            </w:r>
          </w:p>
        </w:tc>
        <w:tc>
          <w:tcPr>
            <w:tcW w:w="556" w:type="pct"/>
            <w:vAlign w:val="center"/>
          </w:tcPr>
          <w:p w:rsidR="0009215A" w:rsidRDefault="0009215A" w:rsidP="0009215A">
            <w:pPr>
              <w:jc w:val="center"/>
            </w:pPr>
            <w:r>
              <w:t>1.61</w:t>
            </w:r>
          </w:p>
        </w:tc>
        <w:tc>
          <w:tcPr>
            <w:tcW w:w="556" w:type="pct"/>
            <w:vAlign w:val="center"/>
          </w:tcPr>
          <w:p w:rsidR="0009215A" w:rsidRDefault="0009215A" w:rsidP="0009215A">
            <w:pPr>
              <w:jc w:val="center"/>
            </w:pPr>
            <w:r>
              <w:t>89%</w:t>
            </w:r>
          </w:p>
        </w:tc>
        <w:tc>
          <w:tcPr>
            <w:tcW w:w="556" w:type="pct"/>
            <w:vAlign w:val="center"/>
          </w:tcPr>
          <w:p w:rsidR="0009215A" w:rsidRDefault="0009215A" w:rsidP="0009215A">
            <w:pPr>
              <w:jc w:val="center"/>
            </w:pPr>
            <w:r>
              <w:t>1.12</w:t>
            </w:r>
          </w:p>
        </w:tc>
        <w:tc>
          <w:tcPr>
            <w:tcW w:w="556" w:type="pct"/>
            <w:vAlign w:val="center"/>
          </w:tcPr>
          <w:p w:rsidR="0009215A" w:rsidRDefault="0009215A" w:rsidP="0009215A">
            <w:pPr>
              <w:jc w:val="center"/>
            </w:pPr>
            <w:r>
              <w:t>1.0</w:t>
            </w:r>
          </w:p>
        </w:tc>
        <w:tc>
          <w:tcPr>
            <w:tcW w:w="554" w:type="pct"/>
            <w:vAlign w:val="center"/>
          </w:tcPr>
          <w:p w:rsidR="0009215A" w:rsidRDefault="0009215A" w:rsidP="0009215A">
            <w:pPr>
              <w:jc w:val="center"/>
            </w:pPr>
            <w:r>
              <w:t>3.0</w:t>
            </w:r>
          </w:p>
        </w:tc>
      </w:tr>
      <w:tr w:rsidR="0009215A" w:rsidTr="0009215A">
        <w:trPr>
          <w:jc w:val="center"/>
        </w:trPr>
        <w:tc>
          <w:tcPr>
            <w:tcW w:w="555" w:type="pct"/>
            <w:vAlign w:val="center"/>
          </w:tcPr>
          <w:p w:rsidR="0009215A" w:rsidRDefault="0009215A" w:rsidP="0009215A">
            <w:pPr>
              <w:jc w:val="center"/>
            </w:pPr>
            <w:r>
              <w:t>Away Goals</w:t>
            </w:r>
          </w:p>
        </w:tc>
        <w:tc>
          <w:tcPr>
            <w:tcW w:w="555" w:type="pct"/>
            <w:vAlign w:val="center"/>
          </w:tcPr>
          <w:p w:rsidR="0009215A" w:rsidRDefault="0009215A" w:rsidP="0009215A">
            <w:pPr>
              <w:jc w:val="center"/>
            </w:pPr>
            <w:r>
              <w:t>1.02</w:t>
            </w:r>
          </w:p>
        </w:tc>
        <w:tc>
          <w:tcPr>
            <w:tcW w:w="556" w:type="pct"/>
            <w:vAlign w:val="center"/>
          </w:tcPr>
          <w:p w:rsidR="0009215A" w:rsidRDefault="0009215A" w:rsidP="0009215A">
            <w:pPr>
              <w:jc w:val="center"/>
            </w:pPr>
            <w:r>
              <w:t>1</w:t>
            </w:r>
          </w:p>
        </w:tc>
        <w:tc>
          <w:tcPr>
            <w:tcW w:w="556" w:type="pct"/>
            <w:vAlign w:val="center"/>
          </w:tcPr>
          <w:p w:rsidR="0009215A" w:rsidRDefault="0009215A" w:rsidP="0009215A">
            <w:pPr>
              <w:jc w:val="center"/>
            </w:pPr>
            <w:r>
              <w:t>0</w:t>
            </w:r>
          </w:p>
        </w:tc>
        <w:tc>
          <w:tcPr>
            <w:tcW w:w="556" w:type="pct"/>
            <w:vAlign w:val="center"/>
          </w:tcPr>
          <w:p w:rsidR="0009215A" w:rsidRDefault="0009215A" w:rsidP="0009215A">
            <w:pPr>
              <w:jc w:val="center"/>
            </w:pPr>
            <w:r>
              <w:t>1.09</w:t>
            </w:r>
          </w:p>
        </w:tc>
        <w:tc>
          <w:tcPr>
            <w:tcW w:w="556" w:type="pct"/>
            <w:vAlign w:val="center"/>
          </w:tcPr>
          <w:p w:rsidR="0009215A" w:rsidRDefault="0009215A" w:rsidP="0009215A">
            <w:pPr>
              <w:jc w:val="center"/>
            </w:pPr>
            <w:r>
              <w:t>107%</w:t>
            </w:r>
          </w:p>
        </w:tc>
        <w:tc>
          <w:tcPr>
            <w:tcW w:w="556" w:type="pct"/>
            <w:vAlign w:val="center"/>
          </w:tcPr>
          <w:p w:rsidR="0009215A" w:rsidRDefault="0009215A" w:rsidP="0009215A">
            <w:pPr>
              <w:jc w:val="center"/>
            </w:pPr>
            <w:r>
              <w:t>1.25</w:t>
            </w:r>
          </w:p>
        </w:tc>
        <w:tc>
          <w:tcPr>
            <w:tcW w:w="556" w:type="pct"/>
            <w:vAlign w:val="center"/>
          </w:tcPr>
          <w:p w:rsidR="0009215A" w:rsidRDefault="0009215A" w:rsidP="0009215A">
            <w:pPr>
              <w:jc w:val="center"/>
            </w:pPr>
            <w:r>
              <w:t>0.0</w:t>
            </w:r>
          </w:p>
        </w:tc>
        <w:tc>
          <w:tcPr>
            <w:tcW w:w="554" w:type="pct"/>
            <w:vAlign w:val="center"/>
          </w:tcPr>
          <w:p w:rsidR="0009215A" w:rsidRDefault="0009215A" w:rsidP="0009215A">
            <w:pPr>
              <w:jc w:val="center"/>
            </w:pPr>
            <w:r>
              <w:t>2.0</w:t>
            </w:r>
          </w:p>
        </w:tc>
      </w:tr>
      <w:tr w:rsidR="0009215A" w:rsidTr="0009215A">
        <w:trPr>
          <w:jc w:val="center"/>
        </w:trPr>
        <w:tc>
          <w:tcPr>
            <w:tcW w:w="555" w:type="pct"/>
            <w:vAlign w:val="center"/>
          </w:tcPr>
          <w:p w:rsidR="0009215A" w:rsidRDefault="0009215A" w:rsidP="0009215A">
            <w:pPr>
              <w:jc w:val="center"/>
            </w:pPr>
            <w:r>
              <w:t>Attendance</w:t>
            </w:r>
          </w:p>
        </w:tc>
        <w:tc>
          <w:tcPr>
            <w:tcW w:w="555" w:type="pct"/>
            <w:vAlign w:val="center"/>
          </w:tcPr>
          <w:p w:rsidR="0009215A" w:rsidRDefault="0009215A" w:rsidP="0009215A">
            <w:pPr>
              <w:jc w:val="center"/>
            </w:pPr>
            <w:r>
              <w:t>45,165</w:t>
            </w:r>
          </w:p>
        </w:tc>
        <w:tc>
          <w:tcPr>
            <w:tcW w:w="556" w:type="pct"/>
            <w:vAlign w:val="center"/>
          </w:tcPr>
          <w:p w:rsidR="0009215A" w:rsidRDefault="0009215A" w:rsidP="0009215A">
            <w:pPr>
              <w:jc w:val="center"/>
            </w:pPr>
            <w:r>
              <w:t>41,580</w:t>
            </w:r>
          </w:p>
        </w:tc>
        <w:tc>
          <w:tcPr>
            <w:tcW w:w="556" w:type="pct"/>
            <w:vAlign w:val="center"/>
          </w:tcPr>
          <w:p w:rsidR="0009215A" w:rsidRDefault="0009215A" w:rsidP="0009215A">
            <w:pPr>
              <w:jc w:val="center"/>
            </w:pPr>
            <w:r>
              <w:t>—</w:t>
            </w:r>
          </w:p>
        </w:tc>
        <w:tc>
          <w:tcPr>
            <w:tcW w:w="556" w:type="pct"/>
            <w:vAlign w:val="center"/>
          </w:tcPr>
          <w:p w:rsidR="0009215A" w:rsidRDefault="0009215A" w:rsidP="0009215A">
            <w:pPr>
              <w:jc w:val="center"/>
            </w:pPr>
            <w:r>
              <w:t>23,485</w:t>
            </w:r>
          </w:p>
        </w:tc>
        <w:tc>
          <w:tcPr>
            <w:tcW w:w="556" w:type="pct"/>
            <w:vAlign w:val="center"/>
          </w:tcPr>
          <w:p w:rsidR="0009215A" w:rsidRDefault="0009215A" w:rsidP="0009215A">
            <w:pPr>
              <w:jc w:val="center"/>
            </w:pPr>
            <w:r>
              <w:t>52%</w:t>
            </w:r>
          </w:p>
        </w:tc>
        <w:tc>
          <w:tcPr>
            <w:tcW w:w="556" w:type="pct"/>
            <w:vAlign w:val="center"/>
          </w:tcPr>
          <w:p w:rsidR="0009215A" w:rsidRDefault="0009215A" w:rsidP="0009215A">
            <w:pPr>
              <w:jc w:val="center"/>
            </w:pPr>
            <w:r>
              <w:t>0.68</w:t>
            </w:r>
          </w:p>
        </w:tc>
        <w:tc>
          <w:tcPr>
            <w:tcW w:w="556" w:type="pct"/>
            <w:vAlign w:val="center"/>
          </w:tcPr>
          <w:p w:rsidR="0009215A" w:rsidRDefault="0009215A" w:rsidP="0009215A">
            <w:pPr>
              <w:jc w:val="center"/>
            </w:pPr>
            <w:r>
              <w:t>30000.0</w:t>
            </w:r>
          </w:p>
        </w:tc>
        <w:tc>
          <w:tcPr>
            <w:tcW w:w="554" w:type="pct"/>
            <w:vAlign w:val="center"/>
          </w:tcPr>
          <w:p w:rsidR="0009215A" w:rsidRDefault="0009215A" w:rsidP="0009215A">
            <w:pPr>
              <w:jc w:val="center"/>
            </w:pPr>
            <w:r>
              <w:t>61374.5</w:t>
            </w:r>
          </w:p>
        </w:tc>
      </w:tr>
      <w:tr w:rsidR="0009215A" w:rsidTr="0009215A">
        <w:trPr>
          <w:jc w:val="center"/>
        </w:trPr>
        <w:tc>
          <w:tcPr>
            <w:tcW w:w="555" w:type="pct"/>
            <w:vAlign w:val="center"/>
          </w:tcPr>
          <w:p w:rsidR="0009215A" w:rsidRDefault="0009215A" w:rsidP="0009215A">
            <w:pPr>
              <w:jc w:val="center"/>
            </w:pPr>
            <w:r>
              <w:t>1st-Half Home Goals</w:t>
            </w:r>
          </w:p>
        </w:tc>
        <w:tc>
          <w:tcPr>
            <w:tcW w:w="555" w:type="pct"/>
            <w:vAlign w:val="center"/>
          </w:tcPr>
          <w:p w:rsidR="0009215A" w:rsidRDefault="0009215A" w:rsidP="0009215A">
            <w:pPr>
              <w:jc w:val="center"/>
            </w:pPr>
            <w:r>
              <w:t>0.71</w:t>
            </w:r>
          </w:p>
        </w:tc>
        <w:tc>
          <w:tcPr>
            <w:tcW w:w="556" w:type="pct"/>
            <w:vAlign w:val="center"/>
          </w:tcPr>
          <w:p w:rsidR="0009215A" w:rsidRDefault="0009215A" w:rsidP="0009215A">
            <w:pPr>
              <w:jc w:val="center"/>
            </w:pPr>
            <w:r>
              <w:t>0</w:t>
            </w:r>
          </w:p>
        </w:tc>
        <w:tc>
          <w:tcPr>
            <w:tcW w:w="556" w:type="pct"/>
            <w:vAlign w:val="center"/>
          </w:tcPr>
          <w:p w:rsidR="0009215A" w:rsidRDefault="0009215A" w:rsidP="0009215A">
            <w:pPr>
              <w:jc w:val="center"/>
            </w:pPr>
            <w:r>
              <w:t>0</w:t>
            </w:r>
          </w:p>
        </w:tc>
        <w:tc>
          <w:tcPr>
            <w:tcW w:w="556" w:type="pct"/>
            <w:vAlign w:val="center"/>
          </w:tcPr>
          <w:p w:rsidR="0009215A" w:rsidRDefault="0009215A" w:rsidP="0009215A">
            <w:pPr>
              <w:jc w:val="center"/>
            </w:pPr>
            <w:r>
              <w:t>0.94</w:t>
            </w:r>
          </w:p>
        </w:tc>
        <w:tc>
          <w:tcPr>
            <w:tcW w:w="556" w:type="pct"/>
            <w:vAlign w:val="center"/>
          </w:tcPr>
          <w:p w:rsidR="0009215A" w:rsidRDefault="0009215A" w:rsidP="0009215A">
            <w:pPr>
              <w:jc w:val="center"/>
            </w:pPr>
            <w:r>
              <w:t>132%</w:t>
            </w:r>
          </w:p>
        </w:tc>
        <w:tc>
          <w:tcPr>
            <w:tcW w:w="556" w:type="pct"/>
            <w:vAlign w:val="center"/>
          </w:tcPr>
          <w:p w:rsidR="0009215A" w:rsidRDefault="0009215A" w:rsidP="0009215A">
            <w:pPr>
              <w:jc w:val="center"/>
            </w:pPr>
            <w:r>
              <w:t>1.58</w:t>
            </w:r>
          </w:p>
        </w:tc>
        <w:tc>
          <w:tcPr>
            <w:tcW w:w="556" w:type="pct"/>
            <w:vAlign w:val="center"/>
          </w:tcPr>
          <w:p w:rsidR="0009215A" w:rsidRDefault="0009215A" w:rsidP="0009215A">
            <w:pPr>
              <w:jc w:val="center"/>
            </w:pPr>
            <w:r>
              <w:t>0.0</w:t>
            </w:r>
          </w:p>
        </w:tc>
        <w:tc>
          <w:tcPr>
            <w:tcW w:w="554" w:type="pct"/>
            <w:vAlign w:val="center"/>
          </w:tcPr>
          <w:p w:rsidR="0009215A" w:rsidRDefault="0009215A" w:rsidP="0009215A">
            <w:pPr>
              <w:jc w:val="center"/>
            </w:pPr>
            <w:r>
              <w:t>1.0</w:t>
            </w:r>
          </w:p>
        </w:tc>
      </w:tr>
      <w:tr w:rsidR="0009215A" w:rsidTr="0009215A">
        <w:trPr>
          <w:jc w:val="center"/>
        </w:trPr>
        <w:tc>
          <w:tcPr>
            <w:tcW w:w="555" w:type="pct"/>
            <w:vAlign w:val="center"/>
          </w:tcPr>
          <w:p w:rsidR="0009215A" w:rsidRDefault="0009215A" w:rsidP="0009215A">
            <w:pPr>
              <w:jc w:val="center"/>
            </w:pPr>
            <w:r>
              <w:t>1st-Half Away Goals</w:t>
            </w:r>
          </w:p>
        </w:tc>
        <w:tc>
          <w:tcPr>
            <w:tcW w:w="555" w:type="pct"/>
            <w:vAlign w:val="center"/>
          </w:tcPr>
          <w:p w:rsidR="0009215A" w:rsidRDefault="0009215A" w:rsidP="0009215A">
            <w:pPr>
              <w:jc w:val="center"/>
            </w:pPr>
            <w:r>
              <w:t>0.43</w:t>
            </w:r>
          </w:p>
        </w:tc>
        <w:tc>
          <w:tcPr>
            <w:tcW w:w="556" w:type="pct"/>
            <w:vAlign w:val="center"/>
          </w:tcPr>
          <w:p w:rsidR="0009215A" w:rsidRDefault="0009215A" w:rsidP="0009215A">
            <w:pPr>
              <w:jc w:val="center"/>
            </w:pPr>
            <w:r>
              <w:t>0</w:t>
            </w:r>
          </w:p>
        </w:tc>
        <w:tc>
          <w:tcPr>
            <w:tcW w:w="556" w:type="pct"/>
            <w:vAlign w:val="center"/>
          </w:tcPr>
          <w:p w:rsidR="0009215A" w:rsidRDefault="0009215A" w:rsidP="0009215A">
            <w:pPr>
              <w:jc w:val="center"/>
            </w:pPr>
            <w:r>
              <w:t>0</w:t>
            </w:r>
          </w:p>
        </w:tc>
        <w:tc>
          <w:tcPr>
            <w:tcW w:w="556" w:type="pct"/>
            <w:vAlign w:val="center"/>
          </w:tcPr>
          <w:p w:rsidR="0009215A" w:rsidRDefault="0009215A" w:rsidP="0009215A">
            <w:pPr>
              <w:jc w:val="center"/>
            </w:pPr>
            <w:r>
              <w:t>0.69</w:t>
            </w:r>
          </w:p>
        </w:tc>
        <w:tc>
          <w:tcPr>
            <w:tcW w:w="556" w:type="pct"/>
            <w:vAlign w:val="center"/>
          </w:tcPr>
          <w:p w:rsidR="0009215A" w:rsidRDefault="0009215A" w:rsidP="0009215A">
            <w:pPr>
              <w:jc w:val="center"/>
            </w:pPr>
            <w:r>
              <w:t>161%</w:t>
            </w:r>
          </w:p>
        </w:tc>
        <w:tc>
          <w:tcPr>
            <w:tcW w:w="556" w:type="pct"/>
            <w:vAlign w:val="center"/>
          </w:tcPr>
          <w:p w:rsidR="0009215A" w:rsidRDefault="0009215A" w:rsidP="0009215A">
            <w:pPr>
              <w:jc w:val="center"/>
            </w:pPr>
            <w:r>
              <w:t>2.01</w:t>
            </w:r>
          </w:p>
        </w:tc>
        <w:tc>
          <w:tcPr>
            <w:tcW w:w="556" w:type="pct"/>
            <w:vAlign w:val="center"/>
          </w:tcPr>
          <w:p w:rsidR="0009215A" w:rsidRDefault="0009215A" w:rsidP="0009215A">
            <w:pPr>
              <w:jc w:val="center"/>
            </w:pPr>
            <w:r>
              <w:t>0.0</w:t>
            </w:r>
          </w:p>
        </w:tc>
        <w:tc>
          <w:tcPr>
            <w:tcW w:w="554" w:type="pct"/>
            <w:vAlign w:val="center"/>
          </w:tcPr>
          <w:p w:rsidR="0009215A" w:rsidRDefault="0009215A" w:rsidP="0009215A">
            <w:pPr>
              <w:jc w:val="center"/>
            </w:pPr>
            <w:r>
              <w:t>1.0</w:t>
            </w:r>
          </w:p>
        </w:tc>
      </w:tr>
    </w:tbl>
    <w:p w:rsidR="002C1D97" w:rsidRDefault="00D91711" w:rsidP="00C04760">
      <w:pPr>
        <w:pStyle w:val="Ttulo2"/>
        <w:spacing w:before="300" w:after="150"/>
        <w:jc w:val="both"/>
      </w:pPr>
      <w:r>
        <w:t xml:space="preserve">3.1 </w:t>
      </w:r>
      <w:proofErr w:type="spellStart"/>
      <w:r>
        <w:t>Histograms</w:t>
      </w:r>
      <w:proofErr w:type="spellEnd"/>
    </w:p>
    <w:p w:rsidR="002C1D97" w:rsidRDefault="00D91711" w:rsidP="00C04760">
      <w:pPr>
        <w:spacing w:before="100" w:after="100"/>
        <w:jc w:val="both"/>
      </w:pPr>
      <w:r>
        <w:rPr>
          <w:noProof/>
        </w:rPr>
        <w:drawing>
          <wp:inline distT="0" distB="0" distL="0" distR="0" wp14:anchorId="2DA1150F" wp14:editId="17B1B712">
            <wp:extent cx="5715000" cy="32194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19450"/>
                    </a:xfrm>
                    <a:prstGeom prst="rect">
                      <a:avLst/>
                    </a:prstGeom>
                  </pic:spPr>
                </pic:pic>
              </a:graphicData>
            </a:graphic>
          </wp:inline>
        </w:drawing>
      </w:r>
    </w:p>
    <w:p w:rsidR="002C1D97" w:rsidRDefault="00D91711" w:rsidP="00C04760">
      <w:pPr>
        <w:spacing w:after="300"/>
        <w:jc w:val="both"/>
      </w:pPr>
      <w:r>
        <w:rPr>
          <w:i/>
          <w:iCs/>
          <w:color w:val="555555"/>
          <w:sz w:val="18"/>
          <w:szCs w:val="18"/>
        </w:rPr>
        <w:t>Figure 1 — Distributions of the main numeric variables.</w:t>
      </w:r>
    </w:p>
    <w:p w:rsidR="00C04760" w:rsidRDefault="00D91711" w:rsidP="00C04760">
      <w:pPr>
        <w:spacing w:after="160"/>
        <w:jc w:val="both"/>
      </w:pPr>
      <w:r>
        <w:t>All goal-related variables are strongly right-skewed (positive skewness between 1.1 and 2.0): most matches have few goals (0 to 2) and a long tail of games with rare blowouts. This is typical of counts in low-scoring sports such as soccer, where scoring many goals is a relatively infrequent event. Halftime goals (1st half) are even more concentrated at zero, with a more pronounced skew, since half the match has not yet occurred. Attendance shows a distribution closer to normal, though also slightly right-skewed, with a tail of sold-out stadiums (Azteca, Maracanã).</w:t>
      </w:r>
    </w:p>
    <w:p w:rsidR="002C1D97" w:rsidRDefault="00D91711" w:rsidP="00D17AEA">
      <w:pPr>
        <w:pStyle w:val="Ttulo2"/>
      </w:pPr>
      <w:r>
        <w:t>3.2 Boxplots</w:t>
      </w:r>
      <w:r>
        <w:rPr>
          <w:noProof/>
        </w:rPr>
        <w:drawing>
          <wp:inline distT="0" distB="0" distL="0" distR="0" wp14:anchorId="476D11C4" wp14:editId="3E4F6704">
            <wp:extent cx="5715000" cy="165735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657350"/>
                    </a:xfrm>
                    <a:prstGeom prst="rect">
                      <a:avLst/>
                    </a:prstGeom>
                  </pic:spPr>
                </pic:pic>
              </a:graphicData>
            </a:graphic>
          </wp:inline>
        </w:drawing>
      </w:r>
    </w:p>
    <w:p w:rsidR="002C1D97" w:rsidRDefault="00D91711" w:rsidP="00C04760">
      <w:pPr>
        <w:spacing w:after="300"/>
        <w:jc w:val="both"/>
      </w:pPr>
      <w:r>
        <w:rPr>
          <w:i/>
          <w:iCs/>
          <w:color w:val="555555"/>
          <w:sz w:val="18"/>
          <w:szCs w:val="18"/>
        </w:rPr>
        <w:t>Figure 2 — Boxplots of home team goals, away team goals, and attendance.</w:t>
      </w:r>
    </w:p>
    <w:p w:rsidR="002C1D97" w:rsidRDefault="00D91711" w:rsidP="00C04760">
      <w:pPr>
        <w:spacing w:after="160"/>
        <w:jc w:val="both"/>
      </w:pPr>
      <w:r>
        <w:lastRenderedPageBreak/>
        <w:t>The boxplots visually confirm the skewness: the boxes are ‘pushed’ toward low values, with several points beyond the upper whisker (blowouts). The home team shows more goal outliers than the away team, suggesting an offensive advantage of playing at home — a phenomenon known in soccer as ‘home-field advantage.’ The attendance boxplot shows greater dispersion and clear outliers from exceptionally packed stadiums.</w:t>
      </w:r>
    </w:p>
    <w:p w:rsidR="002C1D97" w:rsidRDefault="00D91711" w:rsidP="00C04760">
      <w:pPr>
        <w:pStyle w:val="Ttulo1"/>
        <w:spacing w:before="400" w:after="200"/>
        <w:jc w:val="both"/>
      </w:pPr>
      <w:r>
        <w:t>Stage 4 — Bivariate Analysis</w:t>
      </w:r>
    </w:p>
    <w:p w:rsidR="002C1D97" w:rsidRDefault="00D91711" w:rsidP="00C0476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6"/>
          <w:szCs w:val="16"/>
        </w:rPr>
        <w:t>corr = df[num_vars].corr()</w:t>
      </w:r>
      <w:r>
        <w:rPr>
          <w:rFonts w:ascii="Consolas" w:eastAsia="Consolas" w:hAnsi="Consolas" w:cs="Consolas"/>
          <w:sz w:val="16"/>
          <w:szCs w:val="16"/>
        </w:rPr>
        <w:br/>
        <w:t>sns.heatmap(corr, annot=True, cmap="RdBu_r", center=0)</w:t>
      </w:r>
      <w:r>
        <w:rPr>
          <w:rFonts w:ascii="Consolas" w:eastAsia="Consolas" w:hAnsi="Consolas" w:cs="Consolas"/>
          <w:sz w:val="16"/>
          <w:szCs w:val="16"/>
        </w:rPr>
        <w:br/>
      </w:r>
      <w:r>
        <w:rPr>
          <w:rFonts w:ascii="Consolas" w:eastAsia="Consolas" w:hAnsi="Consolas" w:cs="Consolas"/>
          <w:sz w:val="16"/>
          <w:szCs w:val="16"/>
        </w:rPr>
        <w:br/>
        <w:t>sns.scatterplot(data=df, x="Home.Team.Goals", y="Away.Team.Goals")</w:t>
      </w:r>
      <w:r>
        <w:rPr>
          <w:rFonts w:ascii="Consolas" w:eastAsia="Consolas" w:hAnsi="Consolas" w:cs="Consolas"/>
          <w:sz w:val="16"/>
          <w:szCs w:val="16"/>
        </w:rPr>
        <w:br/>
        <w:t>sns.scatterplot(data=df, x="Year", y="Attendance")</w:t>
      </w:r>
    </w:p>
    <w:p w:rsidR="002C1D97" w:rsidRDefault="002317E4" w:rsidP="00C04760">
      <w:pPr>
        <w:spacing w:before="100" w:after="100"/>
        <w:jc w:val="both"/>
      </w:pPr>
      <w:r>
        <w:rPr>
          <w:noProof/>
        </w:rPr>
        <w:drawing>
          <wp:anchor distT="0" distB="0" distL="114300" distR="114300" simplePos="0" relativeHeight="251658240" behindDoc="1" locked="0" layoutInCell="1" allowOverlap="1" wp14:anchorId="65F303C4" wp14:editId="36E46672">
            <wp:simplePos x="0" y="0"/>
            <wp:positionH relativeFrom="column">
              <wp:posOffset>-66675</wp:posOffset>
            </wp:positionH>
            <wp:positionV relativeFrom="paragraph">
              <wp:posOffset>6985</wp:posOffset>
            </wp:positionV>
            <wp:extent cx="4286250" cy="3676650"/>
            <wp:effectExtent l="0" t="0" r="0"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6250" cy="3676650"/>
                    </a:xfrm>
                    <a:prstGeom prst="rect">
                      <a:avLst/>
                    </a:prstGeom>
                  </pic:spPr>
                </pic:pic>
              </a:graphicData>
            </a:graphic>
            <wp14:sizeRelH relativeFrom="page">
              <wp14:pctWidth>0</wp14:pctWidth>
            </wp14:sizeRelH>
            <wp14:sizeRelV relativeFrom="page">
              <wp14:pctHeight>0</wp14:pctHeight>
            </wp14:sizeRelV>
          </wp:anchor>
        </w:drawing>
      </w: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C1D97" w:rsidRDefault="00D91711" w:rsidP="00BF2275">
      <w:pPr>
        <w:jc w:val="both"/>
      </w:pPr>
      <w:r>
        <w:rPr>
          <w:i/>
          <w:iCs/>
          <w:color w:val="555555"/>
          <w:sz w:val="18"/>
          <w:szCs w:val="18"/>
        </w:rPr>
        <w:t>Figure 3 — Linear correlation matrix (Pearson).</w:t>
      </w:r>
    </w:p>
    <w:p w:rsidR="002C1D97" w:rsidRDefault="002C1D97" w:rsidP="00BF2275">
      <w:pPr>
        <w:spacing w:after="100"/>
        <w:jc w:val="both"/>
      </w:pPr>
    </w:p>
    <w:p w:rsidR="002317E4" w:rsidRDefault="002317E4" w:rsidP="00C04760">
      <w:pPr>
        <w:spacing w:after="300"/>
        <w:jc w:val="both"/>
        <w:rPr>
          <w:i/>
          <w:iCs/>
          <w:color w:val="555555"/>
          <w:sz w:val="18"/>
          <w:szCs w:val="18"/>
        </w:rPr>
      </w:pPr>
    </w:p>
    <w:p w:rsidR="002317E4" w:rsidRDefault="002317E4" w:rsidP="00C04760">
      <w:pPr>
        <w:spacing w:after="300"/>
        <w:jc w:val="both"/>
        <w:rPr>
          <w:i/>
          <w:iCs/>
          <w:color w:val="555555"/>
          <w:sz w:val="18"/>
          <w:szCs w:val="18"/>
        </w:rPr>
      </w:pPr>
    </w:p>
    <w:p w:rsidR="002317E4" w:rsidRDefault="000E1CC2" w:rsidP="00C04760">
      <w:pPr>
        <w:spacing w:after="300"/>
        <w:jc w:val="both"/>
        <w:rPr>
          <w:i/>
          <w:iCs/>
          <w:color w:val="555555"/>
          <w:sz w:val="18"/>
          <w:szCs w:val="18"/>
        </w:rPr>
      </w:pPr>
      <w:r>
        <w:rPr>
          <w:noProof/>
        </w:rPr>
        <w:drawing>
          <wp:anchor distT="0" distB="0" distL="114300" distR="114300" simplePos="0" relativeHeight="251660288" behindDoc="1" locked="0" layoutInCell="1" allowOverlap="1" wp14:anchorId="2DE34F78" wp14:editId="046C7029">
            <wp:simplePos x="0" y="0"/>
            <wp:positionH relativeFrom="column">
              <wp:posOffset>47625</wp:posOffset>
            </wp:positionH>
            <wp:positionV relativeFrom="paragraph">
              <wp:posOffset>-727075</wp:posOffset>
            </wp:positionV>
            <wp:extent cx="5153025" cy="2552700"/>
            <wp:effectExtent l="0" t="0" r="9525"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3025" cy="2552700"/>
                    </a:xfrm>
                    <a:prstGeom prst="rect">
                      <a:avLst/>
                    </a:prstGeom>
                  </pic:spPr>
                </pic:pic>
              </a:graphicData>
            </a:graphic>
            <wp14:sizeRelH relativeFrom="page">
              <wp14:pctWidth>0</wp14:pctWidth>
            </wp14:sizeRelH>
            <wp14:sizeRelV relativeFrom="page">
              <wp14:pctHeight>0</wp14:pctHeight>
            </wp14:sizeRelV>
          </wp:anchor>
        </w:drawing>
      </w:r>
    </w:p>
    <w:p w:rsidR="002317E4" w:rsidRDefault="002317E4" w:rsidP="00C04760">
      <w:pPr>
        <w:spacing w:after="300"/>
        <w:jc w:val="both"/>
        <w:rPr>
          <w:i/>
          <w:iCs/>
          <w:color w:val="555555"/>
          <w:sz w:val="18"/>
          <w:szCs w:val="18"/>
        </w:rPr>
      </w:pPr>
    </w:p>
    <w:p w:rsidR="002317E4" w:rsidRDefault="002317E4" w:rsidP="00C04760">
      <w:pPr>
        <w:spacing w:after="300"/>
        <w:jc w:val="both"/>
        <w:rPr>
          <w:i/>
          <w:iCs/>
          <w:color w:val="555555"/>
          <w:sz w:val="18"/>
          <w:szCs w:val="18"/>
        </w:rPr>
      </w:pPr>
    </w:p>
    <w:p w:rsidR="002317E4" w:rsidRDefault="002317E4" w:rsidP="00C04760">
      <w:pPr>
        <w:spacing w:after="300"/>
        <w:jc w:val="both"/>
        <w:rPr>
          <w:i/>
          <w:iCs/>
          <w:color w:val="555555"/>
          <w:sz w:val="18"/>
          <w:szCs w:val="18"/>
        </w:rPr>
      </w:pPr>
    </w:p>
    <w:p w:rsidR="002317E4" w:rsidRDefault="002317E4" w:rsidP="00C04760">
      <w:pPr>
        <w:spacing w:after="300"/>
        <w:jc w:val="both"/>
        <w:rPr>
          <w:i/>
          <w:iCs/>
          <w:color w:val="555555"/>
          <w:sz w:val="18"/>
          <w:szCs w:val="18"/>
        </w:rPr>
      </w:pPr>
    </w:p>
    <w:p w:rsidR="002317E4" w:rsidRDefault="002317E4" w:rsidP="00C04760">
      <w:pPr>
        <w:spacing w:after="300"/>
        <w:jc w:val="both"/>
        <w:rPr>
          <w:i/>
          <w:iCs/>
          <w:color w:val="555555"/>
          <w:sz w:val="18"/>
          <w:szCs w:val="18"/>
        </w:rPr>
      </w:pPr>
    </w:p>
    <w:p w:rsidR="002C1D97" w:rsidRDefault="00D91711" w:rsidP="000E1CC2">
      <w:pPr>
        <w:spacing w:after="300"/>
        <w:jc w:val="both"/>
      </w:pPr>
      <w:r>
        <w:rPr>
          <w:i/>
          <w:iCs/>
          <w:color w:val="555555"/>
          <w:sz w:val="18"/>
          <w:szCs w:val="18"/>
        </w:rPr>
        <w:t xml:space="preserve">Figure 4 — Home team goals vs. </w:t>
      </w:r>
      <w:proofErr w:type="spellStart"/>
      <w:r>
        <w:rPr>
          <w:i/>
          <w:iCs/>
          <w:color w:val="555555"/>
          <w:sz w:val="18"/>
          <w:szCs w:val="18"/>
        </w:rPr>
        <w:t>away</w:t>
      </w:r>
      <w:proofErr w:type="spellEnd"/>
      <w:r>
        <w:rPr>
          <w:i/>
          <w:iCs/>
          <w:color w:val="555555"/>
          <w:sz w:val="18"/>
          <w:szCs w:val="18"/>
        </w:rPr>
        <w:t xml:space="preserve"> </w:t>
      </w:r>
      <w:proofErr w:type="spellStart"/>
      <w:r>
        <w:rPr>
          <w:i/>
          <w:iCs/>
          <w:color w:val="555555"/>
          <w:sz w:val="18"/>
          <w:szCs w:val="18"/>
        </w:rPr>
        <w:t>team</w:t>
      </w:r>
      <w:proofErr w:type="spellEnd"/>
      <w:r>
        <w:rPr>
          <w:i/>
          <w:iCs/>
          <w:color w:val="555555"/>
          <w:sz w:val="18"/>
          <w:szCs w:val="18"/>
        </w:rPr>
        <w:t xml:space="preserve"> </w:t>
      </w:r>
      <w:proofErr w:type="spellStart"/>
      <w:r>
        <w:rPr>
          <w:i/>
          <w:iCs/>
          <w:color w:val="555555"/>
          <w:sz w:val="18"/>
          <w:szCs w:val="18"/>
        </w:rPr>
        <w:t>goals</w:t>
      </w:r>
      <w:proofErr w:type="spellEnd"/>
      <w:r>
        <w:rPr>
          <w:i/>
          <w:iCs/>
          <w:color w:val="555555"/>
          <w:sz w:val="18"/>
          <w:szCs w:val="18"/>
        </w:rPr>
        <w:t>.</w:t>
      </w:r>
    </w:p>
    <w:p w:rsidR="002317E4" w:rsidRDefault="000E1CC2" w:rsidP="00C04760">
      <w:pPr>
        <w:spacing w:before="100" w:after="100"/>
        <w:jc w:val="both"/>
      </w:pPr>
      <w:r>
        <w:rPr>
          <w:noProof/>
        </w:rPr>
        <w:lastRenderedPageBreak/>
        <w:drawing>
          <wp:anchor distT="0" distB="0" distL="114300" distR="114300" simplePos="0" relativeHeight="251659264" behindDoc="1" locked="0" layoutInCell="1" allowOverlap="1" wp14:anchorId="47F2DB31" wp14:editId="4ACFC848">
            <wp:simplePos x="0" y="0"/>
            <wp:positionH relativeFrom="column">
              <wp:posOffset>-123825</wp:posOffset>
            </wp:positionH>
            <wp:positionV relativeFrom="paragraph">
              <wp:posOffset>-758190</wp:posOffset>
            </wp:positionV>
            <wp:extent cx="4286250" cy="3676650"/>
            <wp:effectExtent l="0" t="0" r="0" b="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6250" cy="3676650"/>
                    </a:xfrm>
                    <a:prstGeom prst="rect">
                      <a:avLst/>
                    </a:prstGeom>
                  </pic:spPr>
                </pic:pic>
              </a:graphicData>
            </a:graphic>
            <wp14:sizeRelH relativeFrom="page">
              <wp14:pctWidth>0</wp14:pctWidth>
            </wp14:sizeRelH>
            <wp14:sizeRelV relativeFrom="page">
              <wp14:pctHeight>0</wp14:pctHeight>
            </wp14:sizeRelV>
          </wp:anchor>
        </w:drawing>
      </w: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before="100" w:after="100"/>
        <w:jc w:val="both"/>
      </w:pPr>
    </w:p>
    <w:p w:rsidR="002317E4" w:rsidRDefault="002317E4" w:rsidP="00C04760">
      <w:pPr>
        <w:spacing w:after="300"/>
        <w:jc w:val="both"/>
      </w:pPr>
    </w:p>
    <w:p w:rsidR="002C1D97" w:rsidRDefault="00D91711" w:rsidP="00C04760">
      <w:pPr>
        <w:spacing w:after="300"/>
        <w:jc w:val="both"/>
      </w:pPr>
      <w:r>
        <w:rPr>
          <w:i/>
          <w:iCs/>
          <w:color w:val="555555"/>
          <w:sz w:val="18"/>
          <w:szCs w:val="18"/>
        </w:rPr>
        <w:t xml:space="preserve">Figure 5 — </w:t>
      </w:r>
      <w:proofErr w:type="spellStart"/>
      <w:r>
        <w:rPr>
          <w:i/>
          <w:iCs/>
          <w:color w:val="555555"/>
          <w:sz w:val="18"/>
          <w:szCs w:val="18"/>
        </w:rPr>
        <w:t>Attendance</w:t>
      </w:r>
      <w:proofErr w:type="spellEnd"/>
      <w:r>
        <w:rPr>
          <w:i/>
          <w:iCs/>
          <w:color w:val="555555"/>
          <w:sz w:val="18"/>
          <w:szCs w:val="18"/>
        </w:rPr>
        <w:t xml:space="preserve"> trends across editions.</w:t>
      </w:r>
    </w:p>
    <w:p w:rsidR="002C1D97" w:rsidRDefault="00D91711" w:rsidP="00C04760">
      <w:pPr>
        <w:spacing w:after="160"/>
        <w:jc w:val="both"/>
      </w:pPr>
      <w:r>
        <w:t>The strongest correlation in the dataset (r ≈ 0.73) occurs between Home Team Goals in full time and at halftime — which is natural, since the final score is built from the partial score. The same pattern repeats, somewhat more weakly, for the away team (r ≈ 0.69). Aside from these ‘structural’ (part-whole) relationships, the remaining correlations are weak: home team goals and away team goals show virtually no correlation (r ≈ 0.01), indicating that a team's offensive performance does not depend on the opponent's performance — each team attacks relatively independently. Attendance shows a weak, negative correlation with home team goals (r ≈ -0.12), suggesting that full stadiums are not associated with more goals from the home team. In the Year x Attendance scatter plot, a nonlinear trend is noticeable: sharp growth up to the 1970s–1990s (global popularization of soccer and greater stadium capacity) followed by stabilization/slight decline in the most recent editions, as modern stadiums prioritize comfort over maximum capacity.</w:t>
      </w:r>
    </w:p>
    <w:p w:rsidR="002C1D97" w:rsidRDefault="00D91711" w:rsidP="00C04760">
      <w:pPr>
        <w:pStyle w:val="Ttulo1"/>
        <w:spacing w:before="400" w:after="200"/>
        <w:jc w:val="both"/>
      </w:pPr>
      <w:r>
        <w:t>Stage 5 — Multicollinearity</w:t>
      </w:r>
    </w:p>
    <w:p w:rsidR="002C1D97" w:rsidRDefault="00D91711" w:rsidP="00C0476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6"/>
          <w:szCs w:val="16"/>
        </w:rPr>
        <w:t>c = corr.abs()</w:t>
      </w:r>
      <w:r>
        <w:rPr>
          <w:rFonts w:ascii="Consolas" w:eastAsia="Consolas" w:hAnsi="Consolas" w:cs="Consolas"/>
          <w:sz w:val="16"/>
          <w:szCs w:val="16"/>
        </w:rPr>
        <w:br/>
        <w:t>pairs = c.where(np.triu(np.ones(c.shape), k=1).astype(bool)).stack()</w:t>
      </w:r>
      <w:r>
        <w:rPr>
          <w:rFonts w:ascii="Consolas" w:eastAsia="Consolas" w:hAnsi="Consolas" w:cs="Consolas"/>
          <w:sz w:val="16"/>
          <w:szCs w:val="16"/>
        </w:rPr>
        <w:br/>
        <w:t>print(pairs[pairs &gt; 0.5].sort_values(ascending=False))</w:t>
      </w:r>
    </w:p>
    <w:p w:rsidR="002317E4" w:rsidRDefault="00D91711" w:rsidP="000E1CC2">
      <w:pPr>
        <w:spacing w:after="160"/>
        <w:jc w:val="both"/>
      </w:pPr>
      <w:r>
        <w:t xml:space="preserve">Only two pairs exceed the |r| &gt; 0.5 threshold: Home Team Goals x 1st-Half Home Goals (0.73) and Away Team Goals x 1st-Half Away Goals (0.69). These pairs do not constitute problematic multicollinearity in the classic statistical sense (redundancy between independent predictors), since there is an obvious causal/compositional relationship — the halftime goal is a subset of the final goal. In any future predictive model using the final score as the target, it would be necessary to exclude halftime goals from the explanatory variables (or use them as a proxy for ‘game pace,’ never both simultaneously), avoiding data leakage and redundancy. The other numeric variables (Attendance, Year) show no relevant collinearity with the others and can </w:t>
      </w:r>
      <w:proofErr w:type="spellStart"/>
      <w:r>
        <w:t>be</w:t>
      </w:r>
      <w:proofErr w:type="spellEnd"/>
      <w:r>
        <w:t xml:space="preserve"> </w:t>
      </w:r>
      <w:proofErr w:type="spellStart"/>
      <w:r>
        <w:t>freely</w:t>
      </w:r>
      <w:proofErr w:type="spellEnd"/>
      <w:r>
        <w:t xml:space="preserve"> </w:t>
      </w:r>
      <w:proofErr w:type="spellStart"/>
      <w:r>
        <w:t>used</w:t>
      </w:r>
      <w:proofErr w:type="spellEnd"/>
      <w:r>
        <w:t xml:space="preserve"> </w:t>
      </w:r>
      <w:proofErr w:type="spellStart"/>
      <w:r>
        <w:t>together</w:t>
      </w:r>
      <w:proofErr w:type="spellEnd"/>
      <w:r>
        <w:t>.</w:t>
      </w:r>
    </w:p>
    <w:p w:rsidR="002C1D97" w:rsidRDefault="00D91711" w:rsidP="00C04760">
      <w:pPr>
        <w:pStyle w:val="Ttulo1"/>
        <w:spacing w:before="400" w:after="200"/>
        <w:jc w:val="both"/>
      </w:pPr>
      <w:r>
        <w:t>Stage 6 — Multivariate Visualization</w:t>
      </w:r>
    </w:p>
    <w:p w:rsidR="002C1D97" w:rsidRDefault="00D91711" w:rsidP="00C0476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6"/>
          <w:szCs w:val="16"/>
        </w:rPr>
        <w:t>df["Total.Goals"] = df["Home.Team.Goals"] + df["Away.Team.Goals"]</w:t>
      </w:r>
      <w:r>
        <w:rPr>
          <w:rFonts w:ascii="Consolas" w:eastAsia="Consolas" w:hAnsi="Consolas" w:cs="Consolas"/>
          <w:sz w:val="16"/>
          <w:szCs w:val="16"/>
        </w:rPr>
        <w:br/>
        <w:t>df["Is.Final"] = df["Stage"].isin(["Final","Match for third place",...])</w:t>
      </w:r>
      <w:r>
        <w:rPr>
          <w:rFonts w:ascii="Consolas" w:eastAsia="Consolas" w:hAnsi="Consolas" w:cs="Consolas"/>
          <w:sz w:val="16"/>
          <w:szCs w:val="16"/>
        </w:rPr>
        <w:br/>
      </w:r>
      <w:r>
        <w:rPr>
          <w:rFonts w:ascii="Consolas" w:eastAsia="Consolas" w:hAnsi="Consolas" w:cs="Consolas"/>
          <w:sz w:val="16"/>
          <w:szCs w:val="16"/>
        </w:rPr>
        <w:br/>
        <w:t>sns.scatterplot(data=df, x="Year", y="Total.Goals",</w:t>
      </w:r>
      <w:r>
        <w:rPr>
          <w:rFonts w:ascii="Consolas" w:eastAsia="Consolas" w:hAnsi="Consolas" w:cs="Consolas"/>
          <w:sz w:val="16"/>
          <w:szCs w:val="16"/>
        </w:rPr>
        <w:br/>
        <w:t xml:space="preserve">                 hue="Is.Final", size="Attendance")</w:t>
      </w:r>
      <w:r>
        <w:rPr>
          <w:rFonts w:ascii="Consolas" w:eastAsia="Consolas" w:hAnsi="Consolas" w:cs="Consolas"/>
          <w:sz w:val="16"/>
          <w:szCs w:val="16"/>
        </w:rPr>
        <w:br/>
      </w:r>
      <w:r>
        <w:rPr>
          <w:rFonts w:ascii="Consolas" w:eastAsia="Consolas" w:hAnsi="Consolas" w:cs="Consolas"/>
          <w:sz w:val="16"/>
          <w:szCs w:val="16"/>
        </w:rPr>
        <w:br/>
        <w:t>sns.boxplot(data=df[df.Stage.isin(top_stages)], x="Stage", y="Attendance")</w:t>
      </w:r>
      <w:r>
        <w:rPr>
          <w:rFonts w:ascii="Consolas" w:eastAsia="Consolas" w:hAnsi="Consolas" w:cs="Consolas"/>
          <w:sz w:val="16"/>
          <w:szCs w:val="16"/>
        </w:rPr>
        <w:br/>
      </w:r>
      <w:r>
        <w:rPr>
          <w:rFonts w:ascii="Consolas" w:eastAsia="Consolas" w:hAnsi="Consolas" w:cs="Consolas"/>
          <w:sz w:val="16"/>
          <w:szCs w:val="16"/>
        </w:rPr>
        <w:br/>
        <w:t>sns.pairplot(df[[...]].assign(Epoca=pd.cut(df.Year,...)), hue="Epoca")</w:t>
      </w:r>
    </w:p>
    <w:p w:rsidR="002C1D97" w:rsidRDefault="00D91711" w:rsidP="00C04760">
      <w:pPr>
        <w:spacing w:before="100" w:after="100"/>
        <w:jc w:val="both"/>
      </w:pPr>
      <w:r>
        <w:rPr>
          <w:noProof/>
        </w:rPr>
        <w:lastRenderedPageBreak/>
        <w:drawing>
          <wp:inline distT="0" distB="0" distL="0" distR="0" wp14:anchorId="0D41B6F2" wp14:editId="2D140D39">
            <wp:extent cx="4572000" cy="304800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048000"/>
                    </a:xfrm>
                    <a:prstGeom prst="rect">
                      <a:avLst/>
                    </a:prstGeom>
                  </pic:spPr>
                </pic:pic>
              </a:graphicData>
            </a:graphic>
          </wp:inline>
        </w:drawing>
      </w:r>
    </w:p>
    <w:p w:rsidR="002C1D97" w:rsidRDefault="00D91711" w:rsidP="00C04760">
      <w:pPr>
        <w:spacing w:after="300"/>
        <w:jc w:val="both"/>
      </w:pPr>
      <w:r>
        <w:rPr>
          <w:i/>
          <w:iCs/>
          <w:color w:val="555555"/>
          <w:sz w:val="18"/>
          <w:szCs w:val="18"/>
        </w:rPr>
        <w:t>Figure 6 — Total goals per match over the years, with color indicating final-stage games and size representing attendance.</w:t>
      </w:r>
    </w:p>
    <w:p w:rsidR="002C1D97" w:rsidRDefault="002317E4" w:rsidP="00C04760">
      <w:pPr>
        <w:spacing w:after="160"/>
        <w:jc w:val="both"/>
      </w:pPr>
      <w:r>
        <w:rPr>
          <w:noProof/>
        </w:rPr>
        <w:drawing>
          <wp:anchor distT="0" distB="0" distL="114300" distR="114300" simplePos="0" relativeHeight="251661312" behindDoc="1" locked="0" layoutInCell="1" allowOverlap="1" wp14:anchorId="1E43A47E" wp14:editId="240A4127">
            <wp:simplePos x="0" y="0"/>
            <wp:positionH relativeFrom="column">
              <wp:posOffset>0</wp:posOffset>
            </wp:positionH>
            <wp:positionV relativeFrom="paragraph">
              <wp:posOffset>767080</wp:posOffset>
            </wp:positionV>
            <wp:extent cx="4572000" cy="2749550"/>
            <wp:effectExtent l="0" t="0" r="0" b="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2749550"/>
                    </a:xfrm>
                    <a:prstGeom prst="rect">
                      <a:avLst/>
                    </a:prstGeom>
                  </pic:spPr>
                </pic:pic>
              </a:graphicData>
            </a:graphic>
            <wp14:sizeRelH relativeFrom="page">
              <wp14:pctWidth>0</wp14:pctWidth>
            </wp14:sizeRelH>
            <wp14:sizeRelV relativeFrom="page">
              <wp14:pctHeight>0</wp14:pctHeight>
            </wp14:sizeRelV>
          </wp:anchor>
        </w:drawing>
      </w:r>
      <w:r>
        <w:t>The total number of goals per match (sum of both teams) shows no clear upward or downward trend over the century — soccer has remained statistically stable in average goals, ranging between 2 and 3 per game in most decades, with the exception of the 1930–1954 World Cups, which were more offensive. Final-stage matches (semifinals, final, third-place match) tend to have higher attendance (larger bubbles), as expected, but not necessarily more goals — many finals are truncated, defensive games.</w:t>
      </w:r>
    </w:p>
    <w:p w:rsidR="002C1D97" w:rsidRDefault="002C1D97" w:rsidP="00C04760">
      <w:pPr>
        <w:spacing w:before="100" w:after="100"/>
        <w:jc w:val="both"/>
      </w:pPr>
    </w:p>
    <w:p w:rsidR="002317E4" w:rsidRDefault="002317E4" w:rsidP="00C04760">
      <w:pPr>
        <w:spacing w:after="300"/>
        <w:jc w:val="both"/>
        <w:rPr>
          <w:i/>
          <w:iCs/>
          <w:color w:val="555555"/>
          <w:sz w:val="18"/>
          <w:szCs w:val="18"/>
        </w:rPr>
      </w:pPr>
    </w:p>
    <w:p w:rsidR="002317E4" w:rsidRDefault="002317E4" w:rsidP="00C04760">
      <w:pPr>
        <w:spacing w:after="300"/>
        <w:jc w:val="both"/>
        <w:rPr>
          <w:i/>
          <w:iCs/>
          <w:color w:val="555555"/>
          <w:sz w:val="18"/>
          <w:szCs w:val="18"/>
        </w:rPr>
      </w:pPr>
    </w:p>
    <w:p w:rsidR="002317E4" w:rsidRDefault="002317E4" w:rsidP="00C04760">
      <w:pPr>
        <w:spacing w:after="300"/>
        <w:jc w:val="both"/>
        <w:rPr>
          <w:i/>
          <w:iCs/>
          <w:color w:val="555555"/>
          <w:sz w:val="18"/>
          <w:szCs w:val="18"/>
        </w:rPr>
      </w:pPr>
    </w:p>
    <w:p w:rsidR="002317E4" w:rsidRDefault="002317E4" w:rsidP="00C04760">
      <w:pPr>
        <w:spacing w:after="300"/>
        <w:jc w:val="both"/>
        <w:rPr>
          <w:i/>
          <w:iCs/>
          <w:color w:val="555555"/>
          <w:sz w:val="18"/>
          <w:szCs w:val="18"/>
        </w:rPr>
      </w:pPr>
    </w:p>
    <w:p w:rsidR="002317E4" w:rsidRDefault="002317E4" w:rsidP="00C04760">
      <w:pPr>
        <w:spacing w:after="300"/>
        <w:jc w:val="both"/>
        <w:rPr>
          <w:i/>
          <w:iCs/>
          <w:color w:val="555555"/>
          <w:sz w:val="18"/>
          <w:szCs w:val="18"/>
        </w:rPr>
      </w:pPr>
    </w:p>
    <w:p w:rsidR="002317E4" w:rsidRDefault="002317E4" w:rsidP="00C04760">
      <w:pPr>
        <w:spacing w:after="300"/>
        <w:jc w:val="both"/>
        <w:rPr>
          <w:i/>
          <w:iCs/>
          <w:color w:val="555555"/>
          <w:sz w:val="18"/>
          <w:szCs w:val="18"/>
        </w:rPr>
      </w:pPr>
    </w:p>
    <w:p w:rsidR="002317E4" w:rsidRDefault="002317E4" w:rsidP="00C04760">
      <w:pPr>
        <w:spacing w:after="300"/>
        <w:jc w:val="both"/>
        <w:rPr>
          <w:i/>
          <w:iCs/>
          <w:color w:val="555555"/>
          <w:sz w:val="18"/>
          <w:szCs w:val="18"/>
        </w:rPr>
      </w:pPr>
    </w:p>
    <w:p w:rsidR="002317E4" w:rsidRDefault="002317E4" w:rsidP="00C04760">
      <w:pPr>
        <w:spacing w:after="300"/>
        <w:jc w:val="both"/>
        <w:rPr>
          <w:i/>
          <w:iCs/>
          <w:color w:val="555555"/>
          <w:sz w:val="18"/>
          <w:szCs w:val="18"/>
        </w:rPr>
      </w:pPr>
    </w:p>
    <w:p w:rsidR="002C1D97" w:rsidRDefault="00D91711" w:rsidP="00C04760">
      <w:pPr>
        <w:spacing w:after="300"/>
        <w:jc w:val="both"/>
      </w:pPr>
      <w:r>
        <w:rPr>
          <w:i/>
          <w:iCs/>
          <w:color w:val="555555"/>
          <w:sz w:val="18"/>
          <w:szCs w:val="18"/>
        </w:rPr>
        <w:t>Figure 7 — Attendance by competition stage (6 most frequent stages).</w:t>
      </w:r>
    </w:p>
    <w:p w:rsidR="002C1D97" w:rsidRDefault="00D91711" w:rsidP="00C04760">
      <w:pPr>
        <w:spacing w:after="160"/>
        <w:jc w:val="both"/>
      </w:pPr>
      <w:r>
        <w:t>A strong heterogeneity between stages is evident: the ‘Group A/B/C...’ stage (modern group stages) has a lower median attendance and less variability, while ‘Round of 16’ and knockout stages concentrate games with higher and more dispersed attendance — reflecting matches in larger stadiums and growing fan interest as the competition progresses.</w:t>
      </w:r>
    </w:p>
    <w:p w:rsidR="002C1D97" w:rsidRDefault="00D91711" w:rsidP="00C04760">
      <w:pPr>
        <w:spacing w:before="100" w:after="100"/>
        <w:jc w:val="both"/>
      </w:pPr>
      <w:r>
        <w:rPr>
          <w:noProof/>
        </w:rPr>
        <w:lastRenderedPageBreak/>
        <w:drawing>
          <wp:inline distT="0" distB="0" distL="0" distR="0" wp14:anchorId="489151D8" wp14:editId="09FD9EF2">
            <wp:extent cx="4038600" cy="3373914"/>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38600" cy="3373914"/>
                    </a:xfrm>
                    <a:prstGeom prst="rect">
                      <a:avLst/>
                    </a:prstGeom>
                  </pic:spPr>
                </pic:pic>
              </a:graphicData>
            </a:graphic>
          </wp:inline>
        </w:drawing>
      </w:r>
    </w:p>
    <w:p w:rsidR="002C1D97" w:rsidRDefault="00D91711" w:rsidP="00C04760">
      <w:pPr>
        <w:spacing w:after="300"/>
        <w:jc w:val="both"/>
      </w:pPr>
      <w:r>
        <w:rPr>
          <w:i/>
          <w:iCs/>
          <w:color w:val="555555"/>
          <w:sz w:val="18"/>
          <w:szCs w:val="18"/>
        </w:rPr>
        <w:t>Figure 8 — Pairplot of Home Team Goals, Away Team Goals, and Attendance, segmented by tournament era.</w:t>
      </w:r>
    </w:p>
    <w:p w:rsidR="000E1CC2" w:rsidRDefault="00D91711" w:rsidP="000E1CC2">
      <w:pPr>
        <w:spacing w:after="160"/>
        <w:jc w:val="both"/>
      </w:pPr>
      <w:r>
        <w:t xml:space="preserve">The pairplot segmented by era (1930–1966, 1970–1994, 1998–2014) reveals that the oldest era (green/purple, according to the palette) concentrates higher and more dispersed scores, while the most recent era shows distributions more ‘compressed’ around low scores (1 to 2 goals) — visual evidence that soccer has become tactically and defensively more balanced over time. Attendance also increases in level between eras, consistent with </w:t>
      </w:r>
      <w:proofErr w:type="spellStart"/>
      <w:r>
        <w:t>the</w:t>
      </w:r>
      <w:proofErr w:type="spellEnd"/>
      <w:r>
        <w:t xml:space="preserve"> </w:t>
      </w:r>
      <w:proofErr w:type="spellStart"/>
      <w:r>
        <w:t>tournament's</w:t>
      </w:r>
      <w:proofErr w:type="spellEnd"/>
      <w:r>
        <w:t xml:space="preserve"> global </w:t>
      </w:r>
      <w:proofErr w:type="spellStart"/>
      <w:r>
        <w:t>expansion</w:t>
      </w:r>
      <w:proofErr w:type="spellEnd"/>
      <w:r>
        <w:t>.</w:t>
      </w:r>
    </w:p>
    <w:p w:rsidR="002C1D97" w:rsidRDefault="00BF2275" w:rsidP="000E1CC2">
      <w:pPr>
        <w:pStyle w:val="Ttulo2"/>
      </w:pPr>
      <w:proofErr w:type="spellStart"/>
      <w:r>
        <w:t>Stage</w:t>
      </w:r>
      <w:proofErr w:type="spellEnd"/>
      <w:r>
        <w:t xml:space="preserve"> 7 — </w:t>
      </w:r>
      <w:proofErr w:type="spellStart"/>
      <w:r>
        <w:t>Notable</w:t>
      </w:r>
      <w:proofErr w:type="spellEnd"/>
      <w:r>
        <w:t xml:space="preserve"> Statistical Findings</w:t>
      </w:r>
    </w:p>
    <w:p w:rsidR="002C1D97" w:rsidRDefault="00D91711" w:rsidP="00C04760">
      <w:pPr>
        <w:pStyle w:val="Ttulo2"/>
        <w:spacing w:before="300" w:after="150"/>
        <w:jc w:val="both"/>
      </w:pPr>
      <w:r>
        <w:t>Phenomenon 1 — Severe Skewness in the Goal Variables</w:t>
      </w:r>
    </w:p>
    <w:p w:rsidR="002C1D97" w:rsidRDefault="00D91711" w:rsidP="00C04760">
      <w:pPr>
        <w:spacing w:after="160"/>
        <w:jc w:val="both"/>
      </w:pPr>
      <w:r>
        <w:t>All goal-count variables (home, away, 1st half) show strong positive skewness (0.7 to 2.0), evidenced in the Stage 3 histograms and in the mode = 0 or 1 measures, well below the mean. This reflects the nature of soccer as a low-scoring sport: most games have few goals, and blowouts (9x0, 10x1) are rare events that pull the tail of the distribution to the right.</w:t>
      </w:r>
    </w:p>
    <w:p w:rsidR="002C1D97" w:rsidRDefault="00D91711" w:rsidP="00C04760">
      <w:pPr>
        <w:pStyle w:val="Ttulo2"/>
        <w:spacing w:before="300" w:after="150"/>
        <w:jc w:val="both"/>
      </w:pPr>
      <w:r>
        <w:t>Phenomenon 2 — Heterogeneity Across Competition Stages</w:t>
      </w:r>
    </w:p>
    <w:p w:rsidR="002317E4" w:rsidRDefault="00D91711" w:rsidP="002317E4">
      <w:pPr>
        <w:spacing w:after="160"/>
        <w:jc w:val="both"/>
      </w:pPr>
      <w:r>
        <w:t xml:space="preserve">Stage </w:t>
      </w:r>
      <w:proofErr w:type="gramStart"/>
      <w:r>
        <w:t>6</w:t>
      </w:r>
      <w:proofErr w:type="gramEnd"/>
      <w:r>
        <w:t xml:space="preserve"> showed that attendance varies systematically by tournament stage (group stage vs. knockout stage), with distinct medians and dispersions — it is not a homogeneous variable, but rather a set of subpopulations with different behaviors, which reinforces the importance of always segmenting attendance analyses by stage/era, rather than treating the World Cup as a </w:t>
      </w:r>
      <w:proofErr w:type="spellStart"/>
      <w:r>
        <w:t>uniform</w:t>
      </w:r>
      <w:proofErr w:type="spellEnd"/>
      <w:r>
        <w:t xml:space="preserve"> </w:t>
      </w:r>
      <w:proofErr w:type="spellStart"/>
      <w:r>
        <w:t>block</w:t>
      </w:r>
      <w:proofErr w:type="spellEnd"/>
      <w:r>
        <w:t>.</w:t>
      </w:r>
    </w:p>
    <w:p w:rsidR="002C1D97" w:rsidRDefault="00D91711" w:rsidP="00C04760">
      <w:pPr>
        <w:pStyle w:val="Ttulo2"/>
        <w:spacing w:before="300" w:after="150"/>
        <w:jc w:val="both"/>
      </w:pPr>
      <w:r>
        <w:t>Phenomenon 3 — Structural Relationship (Not True Redundancy) Between Partial and Final Goals</w:t>
      </w:r>
    </w:p>
    <w:p w:rsidR="000E1CC2" w:rsidRDefault="00D91711" w:rsidP="000E1CC2">
      <w:pPr>
        <w:spacing w:after="160"/>
        <w:jc w:val="both"/>
      </w:pPr>
      <w:r>
        <w:t xml:space="preserve">Stage 5 identified the only strong correlations in the dataset, between halftime goals and final goals (r ≈ 0.7). Unlike spurious collinearity, this is a logical compositional relationship, an important warning for any future modeling </w:t>
      </w:r>
      <w:proofErr w:type="spellStart"/>
      <w:r>
        <w:t>to</w:t>
      </w:r>
      <w:proofErr w:type="spellEnd"/>
      <w:r>
        <w:t xml:space="preserve"> </w:t>
      </w:r>
      <w:proofErr w:type="spellStart"/>
      <w:r>
        <w:t>avoid</w:t>
      </w:r>
      <w:proofErr w:type="spellEnd"/>
      <w:r>
        <w:t xml:space="preserve"> data </w:t>
      </w:r>
      <w:proofErr w:type="spellStart"/>
      <w:r>
        <w:t>leakage</w:t>
      </w:r>
      <w:proofErr w:type="spellEnd"/>
      <w:r>
        <w:t>.</w:t>
      </w:r>
    </w:p>
    <w:p w:rsidR="000E1CC2" w:rsidRDefault="00D91711" w:rsidP="000E1CC2">
      <w:pPr>
        <w:pStyle w:val="Ttulo2"/>
        <w:spacing w:before="300" w:after="150"/>
        <w:jc w:val="both"/>
      </w:pPr>
      <w:proofErr w:type="spellStart"/>
      <w:r>
        <w:t>Phenomenon</w:t>
      </w:r>
      <w:proofErr w:type="spellEnd"/>
      <w:r>
        <w:t xml:space="preserve"> 4 — </w:t>
      </w:r>
      <w:proofErr w:type="spellStart"/>
      <w:r>
        <w:t>Change</w:t>
      </w:r>
      <w:proofErr w:type="spellEnd"/>
      <w:r>
        <w:t xml:space="preserve"> in Game </w:t>
      </w:r>
      <w:proofErr w:type="spellStart"/>
      <w:r>
        <w:t>Patterns</w:t>
      </w:r>
      <w:proofErr w:type="spellEnd"/>
      <w:r>
        <w:t xml:space="preserve"> Over </w:t>
      </w:r>
      <w:proofErr w:type="spellStart"/>
      <w:r>
        <w:t>the</w:t>
      </w:r>
      <w:proofErr w:type="spellEnd"/>
      <w:r>
        <w:t xml:space="preserve"> </w:t>
      </w:r>
      <w:proofErr w:type="spellStart"/>
      <w:r>
        <w:t>Decades</w:t>
      </w:r>
      <w:proofErr w:type="spellEnd"/>
    </w:p>
    <w:p w:rsidR="002C1D97" w:rsidRDefault="00D91711" w:rsidP="000E1CC2">
      <w:r>
        <w:t xml:space="preserve">The </w:t>
      </w:r>
      <w:proofErr w:type="spellStart"/>
      <w:r>
        <w:t>pairplot</w:t>
      </w:r>
      <w:proofErr w:type="spellEnd"/>
      <w:r>
        <w:t xml:space="preserve"> </w:t>
      </w:r>
      <w:proofErr w:type="spellStart"/>
      <w:r>
        <w:t>by</w:t>
      </w:r>
      <w:proofErr w:type="spellEnd"/>
      <w:r>
        <w:t xml:space="preserve"> era (Stage </w:t>
      </w:r>
      <w:proofErr w:type="gramStart"/>
      <w:r>
        <w:t>6</w:t>
      </w:r>
      <w:proofErr w:type="gramEnd"/>
      <w:r>
        <w:t>) revealed a visual shift in scores over time: older World Cups (1930–1966) had more dispersed goal distributions with higher scores; recent World Cups show more balanced, defensive games — a historical-tactical pattern consistent with increased professionalization and greater technical parity among national teams.</w:t>
      </w:r>
    </w:p>
    <w:sectPr w:rsidR="002C1D97" w:rsidSect="00C04760">
      <w:pgSz w:w="11906" w:h="16838"/>
      <w:pgMar w:top="1440" w:right="1440" w:bottom="1440" w:left="1440" w:header="708" w:footer="68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397A" w:rsidRDefault="00BA397A" w:rsidP="00C04760">
      <w:r>
        <w:separator/>
      </w:r>
    </w:p>
  </w:endnote>
  <w:endnote w:type="continuationSeparator" w:id="0">
    <w:p w:rsidR="00BA397A" w:rsidRDefault="00BA397A" w:rsidP="00C04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397A" w:rsidRDefault="00BA397A" w:rsidP="00C04760">
      <w:r>
        <w:separator/>
      </w:r>
    </w:p>
  </w:footnote>
  <w:footnote w:type="continuationSeparator" w:id="0">
    <w:p w:rsidR="00BA397A" w:rsidRDefault="00BA397A" w:rsidP="00C0476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BF186B"/>
    <w:multiLevelType w:val="hybridMultilevel"/>
    <w:tmpl w:val="F65A60EA"/>
    <w:lvl w:ilvl="0" w:tplc="52087662">
      <w:start w:val="1"/>
      <w:numFmt w:val="bullet"/>
      <w:lvlText w:val="●"/>
      <w:lvlJc w:val="left"/>
      <w:pPr>
        <w:ind w:left="720" w:hanging="360"/>
      </w:pPr>
    </w:lvl>
    <w:lvl w:ilvl="1" w:tplc="E870B452">
      <w:start w:val="1"/>
      <w:numFmt w:val="bullet"/>
      <w:lvlText w:val="○"/>
      <w:lvlJc w:val="left"/>
      <w:pPr>
        <w:ind w:left="1440" w:hanging="360"/>
      </w:pPr>
    </w:lvl>
    <w:lvl w:ilvl="2" w:tplc="453C5F44">
      <w:start w:val="1"/>
      <w:numFmt w:val="bullet"/>
      <w:lvlText w:val="■"/>
      <w:lvlJc w:val="left"/>
      <w:pPr>
        <w:ind w:left="2160" w:hanging="360"/>
      </w:pPr>
    </w:lvl>
    <w:lvl w:ilvl="3" w:tplc="1938D0F8">
      <w:start w:val="1"/>
      <w:numFmt w:val="bullet"/>
      <w:lvlText w:val="●"/>
      <w:lvlJc w:val="left"/>
      <w:pPr>
        <w:ind w:left="2880" w:hanging="360"/>
      </w:pPr>
    </w:lvl>
    <w:lvl w:ilvl="4" w:tplc="4038FC54">
      <w:start w:val="1"/>
      <w:numFmt w:val="bullet"/>
      <w:lvlText w:val="○"/>
      <w:lvlJc w:val="left"/>
      <w:pPr>
        <w:ind w:left="3600" w:hanging="360"/>
      </w:pPr>
    </w:lvl>
    <w:lvl w:ilvl="5" w:tplc="CA326622">
      <w:start w:val="1"/>
      <w:numFmt w:val="bullet"/>
      <w:lvlText w:val="■"/>
      <w:lvlJc w:val="left"/>
      <w:pPr>
        <w:ind w:left="4320" w:hanging="360"/>
      </w:pPr>
    </w:lvl>
    <w:lvl w:ilvl="6" w:tplc="ACBC3AF8">
      <w:start w:val="1"/>
      <w:numFmt w:val="bullet"/>
      <w:lvlText w:val="●"/>
      <w:lvlJc w:val="left"/>
      <w:pPr>
        <w:ind w:left="5040" w:hanging="360"/>
      </w:pPr>
    </w:lvl>
    <w:lvl w:ilvl="7" w:tplc="C4DA8360">
      <w:start w:val="1"/>
      <w:numFmt w:val="bullet"/>
      <w:lvlText w:val="●"/>
      <w:lvlJc w:val="left"/>
      <w:pPr>
        <w:ind w:left="5760" w:hanging="360"/>
      </w:pPr>
    </w:lvl>
    <w:lvl w:ilvl="8" w:tplc="6810A35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2C1D97"/>
    <w:rsid w:val="0009215A"/>
    <w:rsid w:val="000E1CC2"/>
    <w:rsid w:val="001C7801"/>
    <w:rsid w:val="002317E4"/>
    <w:rsid w:val="002C1D97"/>
    <w:rsid w:val="003B33A3"/>
    <w:rsid w:val="004F5580"/>
    <w:rsid w:val="0094248A"/>
    <w:rsid w:val="00BA397A"/>
    <w:rsid w:val="00BF2275"/>
    <w:rsid w:val="00C04760"/>
    <w:rsid w:val="00D17AEA"/>
    <w:rsid w:val="00D917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qFormat/>
    <w:rsid w:val="00BF2275"/>
    <w:pPr>
      <w:outlineLvl w:val="0"/>
    </w:pPr>
    <w:rPr>
      <w:color w:val="0F243E" w:themeColor="text2" w:themeShade="80"/>
      <w:sz w:val="28"/>
      <w:szCs w:val="32"/>
    </w:rPr>
  </w:style>
  <w:style w:type="paragraph" w:styleId="Ttulo2">
    <w:name w:val="heading 2"/>
    <w:qFormat/>
    <w:rsid w:val="00BF2275"/>
    <w:pPr>
      <w:outlineLvl w:val="1"/>
    </w:pPr>
    <w:rPr>
      <w:color w:val="4F6228" w:themeColor="accent3" w:themeShade="80"/>
      <w:sz w:val="22"/>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Textodebalo">
    <w:name w:val="Balloon Text"/>
    <w:basedOn w:val="Normal"/>
    <w:link w:val="TextodebaloChar"/>
    <w:uiPriority w:val="99"/>
    <w:semiHidden/>
    <w:unhideWhenUsed/>
    <w:rsid w:val="00C04760"/>
    <w:rPr>
      <w:rFonts w:ascii="Tahoma" w:hAnsi="Tahoma" w:cs="Tahoma"/>
      <w:sz w:val="16"/>
      <w:szCs w:val="16"/>
    </w:rPr>
  </w:style>
  <w:style w:type="character" w:customStyle="1" w:styleId="TextodebaloChar">
    <w:name w:val="Texto de balão Char"/>
    <w:basedOn w:val="Fontepargpadro"/>
    <w:link w:val="Textodebalo"/>
    <w:uiPriority w:val="99"/>
    <w:semiHidden/>
    <w:rsid w:val="00C04760"/>
    <w:rPr>
      <w:rFonts w:ascii="Tahoma" w:hAnsi="Tahoma" w:cs="Tahoma"/>
      <w:sz w:val="16"/>
      <w:szCs w:val="16"/>
    </w:rPr>
  </w:style>
  <w:style w:type="paragraph" w:styleId="Cabealho">
    <w:name w:val="header"/>
    <w:basedOn w:val="Normal"/>
    <w:link w:val="CabealhoChar"/>
    <w:uiPriority w:val="99"/>
    <w:unhideWhenUsed/>
    <w:rsid w:val="00C04760"/>
    <w:pPr>
      <w:tabs>
        <w:tab w:val="center" w:pos="4252"/>
        <w:tab w:val="right" w:pos="8504"/>
      </w:tabs>
    </w:pPr>
  </w:style>
  <w:style w:type="character" w:customStyle="1" w:styleId="CabealhoChar">
    <w:name w:val="Cabeçalho Char"/>
    <w:basedOn w:val="Fontepargpadro"/>
    <w:link w:val="Cabealho"/>
    <w:uiPriority w:val="99"/>
    <w:rsid w:val="00C04760"/>
  </w:style>
  <w:style w:type="paragraph" w:styleId="Rodap">
    <w:name w:val="footer"/>
    <w:basedOn w:val="Normal"/>
    <w:link w:val="RodapChar"/>
    <w:uiPriority w:val="99"/>
    <w:unhideWhenUsed/>
    <w:rsid w:val="00C04760"/>
    <w:pPr>
      <w:tabs>
        <w:tab w:val="center" w:pos="4252"/>
        <w:tab w:val="right" w:pos="8504"/>
      </w:tabs>
    </w:pPr>
  </w:style>
  <w:style w:type="character" w:customStyle="1" w:styleId="RodapChar">
    <w:name w:val="Rodapé Char"/>
    <w:basedOn w:val="Fontepargpadro"/>
    <w:link w:val="Rodap"/>
    <w:uiPriority w:val="99"/>
    <w:rsid w:val="00C0476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qFormat/>
    <w:rsid w:val="00BF2275"/>
    <w:pPr>
      <w:outlineLvl w:val="0"/>
    </w:pPr>
    <w:rPr>
      <w:color w:val="0F243E" w:themeColor="text2" w:themeShade="80"/>
      <w:sz w:val="28"/>
      <w:szCs w:val="32"/>
    </w:rPr>
  </w:style>
  <w:style w:type="paragraph" w:styleId="Ttulo2">
    <w:name w:val="heading 2"/>
    <w:qFormat/>
    <w:rsid w:val="00BF2275"/>
    <w:pPr>
      <w:outlineLvl w:val="1"/>
    </w:pPr>
    <w:rPr>
      <w:color w:val="4F6228" w:themeColor="accent3" w:themeShade="80"/>
      <w:sz w:val="22"/>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 w:type="paragraph" w:styleId="Textodebalo">
    <w:name w:val="Balloon Text"/>
    <w:basedOn w:val="Normal"/>
    <w:link w:val="TextodebaloChar"/>
    <w:uiPriority w:val="99"/>
    <w:semiHidden/>
    <w:unhideWhenUsed/>
    <w:rsid w:val="00C04760"/>
    <w:rPr>
      <w:rFonts w:ascii="Tahoma" w:hAnsi="Tahoma" w:cs="Tahoma"/>
      <w:sz w:val="16"/>
      <w:szCs w:val="16"/>
    </w:rPr>
  </w:style>
  <w:style w:type="character" w:customStyle="1" w:styleId="TextodebaloChar">
    <w:name w:val="Texto de balão Char"/>
    <w:basedOn w:val="Fontepargpadro"/>
    <w:link w:val="Textodebalo"/>
    <w:uiPriority w:val="99"/>
    <w:semiHidden/>
    <w:rsid w:val="00C04760"/>
    <w:rPr>
      <w:rFonts w:ascii="Tahoma" w:hAnsi="Tahoma" w:cs="Tahoma"/>
      <w:sz w:val="16"/>
      <w:szCs w:val="16"/>
    </w:rPr>
  </w:style>
  <w:style w:type="paragraph" w:styleId="Cabealho">
    <w:name w:val="header"/>
    <w:basedOn w:val="Normal"/>
    <w:link w:val="CabealhoChar"/>
    <w:uiPriority w:val="99"/>
    <w:unhideWhenUsed/>
    <w:rsid w:val="00C04760"/>
    <w:pPr>
      <w:tabs>
        <w:tab w:val="center" w:pos="4252"/>
        <w:tab w:val="right" w:pos="8504"/>
      </w:tabs>
    </w:pPr>
  </w:style>
  <w:style w:type="character" w:customStyle="1" w:styleId="CabealhoChar">
    <w:name w:val="Cabeçalho Char"/>
    <w:basedOn w:val="Fontepargpadro"/>
    <w:link w:val="Cabealho"/>
    <w:uiPriority w:val="99"/>
    <w:rsid w:val="00C04760"/>
  </w:style>
  <w:style w:type="paragraph" w:styleId="Rodap">
    <w:name w:val="footer"/>
    <w:basedOn w:val="Normal"/>
    <w:link w:val="RodapChar"/>
    <w:uiPriority w:val="99"/>
    <w:unhideWhenUsed/>
    <w:rsid w:val="00C04760"/>
    <w:pPr>
      <w:tabs>
        <w:tab w:val="center" w:pos="4252"/>
        <w:tab w:val="right" w:pos="8504"/>
      </w:tabs>
    </w:pPr>
  </w:style>
  <w:style w:type="character" w:customStyle="1" w:styleId="RodapChar">
    <w:name w:val="Rodapé Char"/>
    <w:basedOn w:val="Fontepargpadro"/>
    <w:link w:val="Rodap"/>
    <w:uiPriority w:val="99"/>
    <w:rsid w:val="00C047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Pages>
  <Words>2122</Words>
  <Characters>11461</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Paulo Ricardo Silva</cp:lastModifiedBy>
  <cp:revision>11</cp:revision>
  <cp:lastPrinted>2026-07-15T22:59:00Z</cp:lastPrinted>
  <dcterms:created xsi:type="dcterms:W3CDTF">2026-07-02T23:26:00Z</dcterms:created>
  <dcterms:modified xsi:type="dcterms:W3CDTF">2026-07-15T22:59:00Z</dcterms:modified>
</cp:coreProperties>
</file>