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688F6" w14:textId="09D64E06" w:rsidR="00F27217" w:rsidRPr="006201DA" w:rsidRDefault="00F27217" w:rsidP="00F27217">
      <w:pPr>
        <w:rPr>
          <w:rFonts w:ascii="Arial" w:hAnsi="Arial" w:cs="Arial"/>
        </w:rPr>
      </w:pPr>
      <w:r w:rsidRPr="006201DA">
        <w:rPr>
          <w:rFonts w:ascii="Arial" w:hAnsi="Arial" w:cs="Arial"/>
        </w:rPr>
        <w:t xml:space="preserve">The AllTogether case study </w:t>
      </w:r>
      <w:r w:rsidR="007F3225" w:rsidRPr="006201DA">
        <w:rPr>
          <w:rFonts w:ascii="Arial" w:hAnsi="Arial" w:cs="Arial"/>
        </w:rPr>
        <w:t>determine</w:t>
      </w:r>
      <w:r w:rsidR="00D87BFD" w:rsidRPr="006201DA">
        <w:rPr>
          <w:rFonts w:ascii="Arial" w:hAnsi="Arial" w:cs="Arial"/>
        </w:rPr>
        <w:t>d</w:t>
      </w:r>
      <w:r w:rsidRPr="006201DA">
        <w:rPr>
          <w:rFonts w:ascii="Arial" w:hAnsi="Arial" w:cs="Arial"/>
        </w:rPr>
        <w:t xml:space="preserve"> that accessibility failures are not purely technical defects but reflect significant ethical, legal, social, and organisational shortcomings. My initial analysis identified clear violations of ACM and BCS principles, in relation to contributing to human well-being, avoiding harm, fairness, and professional competence. The company’s decision to release software with known accessibility issues resulted in user exclusion, reduced trust, and reputational consequences, </w:t>
      </w:r>
      <w:r w:rsidR="004157BF" w:rsidRPr="006201DA">
        <w:rPr>
          <w:rFonts w:ascii="Arial" w:hAnsi="Arial" w:cs="Arial"/>
        </w:rPr>
        <w:t xml:space="preserve">showing </w:t>
      </w:r>
      <w:r w:rsidRPr="006201DA">
        <w:rPr>
          <w:rFonts w:ascii="Arial" w:hAnsi="Arial" w:cs="Arial"/>
        </w:rPr>
        <w:t>how ethical codes lose effectiveness when not actively applied in decision-making.</w:t>
      </w:r>
    </w:p>
    <w:p w14:paraId="6DCC2E54" w14:textId="38073D97" w:rsidR="00F27217" w:rsidRPr="006201DA" w:rsidRDefault="000117FD" w:rsidP="00F27217">
      <w:pPr>
        <w:rPr>
          <w:rFonts w:ascii="Arial" w:hAnsi="Arial" w:cs="Arial"/>
        </w:rPr>
      </w:pPr>
      <w:r w:rsidRPr="006201DA">
        <w:rPr>
          <w:rFonts w:ascii="Arial" w:hAnsi="Arial" w:cs="Arial"/>
        </w:rPr>
        <w:t>F</w:t>
      </w:r>
      <w:r w:rsidR="00F27217" w:rsidRPr="006201DA">
        <w:rPr>
          <w:rFonts w:ascii="Arial" w:hAnsi="Arial" w:cs="Arial"/>
        </w:rPr>
        <w:t xml:space="preserve">eedback from my peers provided important </w:t>
      </w:r>
      <w:r w:rsidR="00FB3BE0" w:rsidRPr="006201DA">
        <w:rPr>
          <w:rFonts w:ascii="Arial" w:hAnsi="Arial" w:cs="Arial"/>
        </w:rPr>
        <w:t>additions</w:t>
      </w:r>
      <w:r w:rsidR="00F27217" w:rsidRPr="006201DA">
        <w:rPr>
          <w:rFonts w:ascii="Arial" w:hAnsi="Arial" w:cs="Arial"/>
        </w:rPr>
        <w:t xml:space="preserve"> to </w:t>
      </w:r>
      <w:r w:rsidR="00FB3BE0" w:rsidRPr="006201DA">
        <w:rPr>
          <w:rFonts w:ascii="Arial" w:hAnsi="Arial" w:cs="Arial"/>
        </w:rPr>
        <w:t>my</w:t>
      </w:r>
      <w:r w:rsidR="00F27217" w:rsidRPr="006201DA">
        <w:rPr>
          <w:rFonts w:ascii="Arial" w:hAnsi="Arial" w:cs="Arial"/>
        </w:rPr>
        <w:t xml:space="preserve"> analysis. Ruben </w:t>
      </w:r>
      <w:proofErr w:type="spellStart"/>
      <w:r w:rsidR="00F27217" w:rsidRPr="006201DA">
        <w:rPr>
          <w:rFonts w:ascii="Arial" w:hAnsi="Arial" w:cs="Arial"/>
        </w:rPr>
        <w:t>emphasised</w:t>
      </w:r>
      <w:proofErr w:type="spellEnd"/>
      <w:r w:rsidR="00F27217" w:rsidRPr="006201DA">
        <w:rPr>
          <w:rFonts w:ascii="Arial" w:hAnsi="Arial" w:cs="Arial"/>
        </w:rPr>
        <w:t xml:space="preserve"> that the legal implications are more substantial and enforceable than initially discussed. Regulations such as the European Accessibility Act, the UK Equality Act 2010, and US laws (ADA and Section 508) highlight that accessibility is not optional but a legal requirement with </w:t>
      </w:r>
      <w:r w:rsidR="00FB3BE0" w:rsidRPr="006201DA">
        <w:rPr>
          <w:rFonts w:ascii="Arial" w:hAnsi="Arial" w:cs="Arial"/>
        </w:rPr>
        <w:t>significant</w:t>
      </w:r>
      <w:r w:rsidR="00F27217" w:rsidRPr="006201DA">
        <w:rPr>
          <w:rFonts w:ascii="Arial" w:hAnsi="Arial" w:cs="Arial"/>
        </w:rPr>
        <w:t xml:space="preserve"> risks. He also reframed </w:t>
      </w:r>
      <w:r w:rsidR="00FB3BE0" w:rsidRPr="006201DA">
        <w:rPr>
          <w:rFonts w:ascii="Arial" w:hAnsi="Arial" w:cs="Arial"/>
        </w:rPr>
        <w:t>it</w:t>
      </w:r>
      <w:r w:rsidR="00F27217" w:rsidRPr="006201DA">
        <w:rPr>
          <w:rFonts w:ascii="Arial" w:hAnsi="Arial" w:cs="Arial"/>
        </w:rPr>
        <w:t xml:space="preserve"> as a governance failure, </w:t>
      </w:r>
      <w:r w:rsidR="003A0622" w:rsidRPr="006201DA">
        <w:rPr>
          <w:rFonts w:ascii="Arial" w:hAnsi="Arial" w:cs="Arial"/>
        </w:rPr>
        <w:t>where limited</w:t>
      </w:r>
      <w:r w:rsidR="00F27217" w:rsidRPr="006201DA">
        <w:rPr>
          <w:rFonts w:ascii="Arial" w:hAnsi="Arial" w:cs="Arial"/>
        </w:rPr>
        <w:t xml:space="preserve"> authority of the Diversity Advisory Board allowed known defects to reach production. This reinforces the idea that ethical frameworks must be supported by organisational structures and accountability mechanisms to influence outcomes effectively.</w:t>
      </w:r>
      <w:r w:rsidR="008C0259" w:rsidRPr="006201DA">
        <w:rPr>
          <w:rFonts w:ascii="Arial" w:hAnsi="Arial" w:cs="Arial"/>
        </w:rPr>
        <w:t xml:space="preserve"> </w:t>
      </w:r>
      <w:r w:rsidR="00F27217" w:rsidRPr="006201DA">
        <w:rPr>
          <w:rFonts w:ascii="Arial" w:hAnsi="Arial" w:cs="Arial"/>
        </w:rPr>
        <w:t xml:space="preserve">Abdullah expanded the discussion by framing accessibility as a social justice issue, </w:t>
      </w:r>
      <w:proofErr w:type="spellStart"/>
      <w:r w:rsidR="00F27217" w:rsidRPr="006201DA">
        <w:rPr>
          <w:rFonts w:ascii="Arial" w:hAnsi="Arial" w:cs="Arial"/>
        </w:rPr>
        <w:t>emphasising</w:t>
      </w:r>
      <w:proofErr w:type="spellEnd"/>
      <w:r w:rsidR="00F27217" w:rsidRPr="006201DA">
        <w:rPr>
          <w:rFonts w:ascii="Arial" w:hAnsi="Arial" w:cs="Arial"/>
        </w:rPr>
        <w:t xml:space="preserve"> its connection to indirect discrimination and digital inequality. Inaccessible systems limit participation, independence, and employment opportunities for people with disabilities. His focus on inclusive design, continuous testing, and involving users with disabilities highlights practical ways to </w:t>
      </w:r>
      <w:r w:rsidR="00B109BB" w:rsidRPr="006201DA">
        <w:rPr>
          <w:rFonts w:ascii="Arial" w:hAnsi="Arial" w:cs="Arial"/>
        </w:rPr>
        <w:t>implant</w:t>
      </w:r>
      <w:r w:rsidR="00F27217" w:rsidRPr="006201DA">
        <w:rPr>
          <w:rFonts w:ascii="Arial" w:hAnsi="Arial" w:cs="Arial"/>
        </w:rPr>
        <w:t xml:space="preserve"> ethical responsibility into development processes, aligning with user-</w:t>
      </w:r>
      <w:r w:rsidR="00FF53BF" w:rsidRPr="006201DA">
        <w:rPr>
          <w:rFonts w:ascii="Arial" w:hAnsi="Arial" w:cs="Arial"/>
        </w:rPr>
        <w:t>centered</w:t>
      </w:r>
      <w:r w:rsidR="00F27217" w:rsidRPr="006201DA">
        <w:rPr>
          <w:rFonts w:ascii="Arial" w:hAnsi="Arial" w:cs="Arial"/>
        </w:rPr>
        <w:t xml:space="preserve"> design principles.</w:t>
      </w:r>
    </w:p>
    <w:p w14:paraId="4D1A4B98" w14:textId="54938206" w:rsidR="00F27217" w:rsidRPr="006201DA" w:rsidRDefault="00F27217" w:rsidP="00F27217">
      <w:pPr>
        <w:rPr>
          <w:rFonts w:ascii="Arial" w:hAnsi="Arial" w:cs="Arial"/>
        </w:rPr>
      </w:pPr>
      <w:r w:rsidRPr="006201DA">
        <w:rPr>
          <w:rFonts w:ascii="Arial" w:hAnsi="Arial" w:cs="Arial"/>
        </w:rPr>
        <w:t>Linking these insights to the module learning outcomes, Unit 1 demonstrate</w:t>
      </w:r>
      <w:r w:rsidR="00DE0A31" w:rsidRPr="006201DA">
        <w:rPr>
          <w:rFonts w:ascii="Arial" w:hAnsi="Arial" w:cs="Arial"/>
        </w:rPr>
        <w:t>d</w:t>
      </w:r>
      <w:r w:rsidRPr="006201DA">
        <w:rPr>
          <w:rFonts w:ascii="Arial" w:hAnsi="Arial" w:cs="Arial"/>
        </w:rPr>
        <w:t xml:space="preserve"> the importance of ethical reasoning in computing</w:t>
      </w:r>
      <w:r w:rsidR="00F7687C" w:rsidRPr="006201DA">
        <w:rPr>
          <w:rFonts w:ascii="Arial" w:hAnsi="Arial" w:cs="Arial"/>
        </w:rPr>
        <w:t xml:space="preserve"> where a </w:t>
      </w:r>
      <w:r w:rsidRPr="006201DA">
        <w:rPr>
          <w:rFonts w:ascii="Arial" w:hAnsi="Arial" w:cs="Arial"/>
        </w:rPr>
        <w:t xml:space="preserve">deductive approach and inductive reasoning indicated that </w:t>
      </w:r>
      <w:r w:rsidR="00F7687C" w:rsidRPr="006201DA">
        <w:rPr>
          <w:rFonts w:ascii="Arial" w:hAnsi="Arial" w:cs="Arial"/>
        </w:rPr>
        <w:t xml:space="preserve">the </w:t>
      </w:r>
      <w:r w:rsidRPr="006201DA">
        <w:rPr>
          <w:rFonts w:ascii="Arial" w:hAnsi="Arial" w:cs="Arial"/>
        </w:rPr>
        <w:t xml:space="preserve">release should not </w:t>
      </w:r>
      <w:r w:rsidR="00F7687C" w:rsidRPr="006201DA">
        <w:rPr>
          <w:rFonts w:ascii="Arial" w:hAnsi="Arial" w:cs="Arial"/>
        </w:rPr>
        <w:t xml:space="preserve">have </w:t>
      </w:r>
      <w:r w:rsidRPr="006201DA">
        <w:rPr>
          <w:rFonts w:ascii="Arial" w:hAnsi="Arial" w:cs="Arial"/>
        </w:rPr>
        <w:t>proceed</w:t>
      </w:r>
      <w:r w:rsidR="00F7687C" w:rsidRPr="006201DA">
        <w:rPr>
          <w:rFonts w:ascii="Arial" w:hAnsi="Arial" w:cs="Arial"/>
        </w:rPr>
        <w:t>ed</w:t>
      </w:r>
      <w:r w:rsidRPr="006201DA">
        <w:rPr>
          <w:rFonts w:ascii="Arial" w:hAnsi="Arial" w:cs="Arial"/>
        </w:rPr>
        <w:t xml:space="preserve">, yet </w:t>
      </w:r>
      <w:r w:rsidR="00F7687C" w:rsidRPr="006201DA">
        <w:rPr>
          <w:rFonts w:ascii="Arial" w:hAnsi="Arial" w:cs="Arial"/>
        </w:rPr>
        <w:t xml:space="preserve">it </w:t>
      </w:r>
      <w:r w:rsidR="00F56766" w:rsidRPr="006201DA">
        <w:rPr>
          <w:rFonts w:ascii="Arial" w:hAnsi="Arial" w:cs="Arial"/>
        </w:rPr>
        <w:t>did</w:t>
      </w:r>
      <w:r w:rsidR="00F7687C" w:rsidRPr="006201DA">
        <w:rPr>
          <w:rFonts w:ascii="Arial" w:hAnsi="Arial" w:cs="Arial"/>
        </w:rPr>
        <w:t xml:space="preserve">. </w:t>
      </w:r>
      <w:r w:rsidRPr="006201DA">
        <w:rPr>
          <w:rFonts w:ascii="Arial" w:hAnsi="Arial" w:cs="Arial"/>
        </w:rPr>
        <w:t xml:space="preserve"> Unit 2 show</w:t>
      </w:r>
      <w:r w:rsidR="00F56766" w:rsidRPr="006201DA">
        <w:rPr>
          <w:rFonts w:ascii="Arial" w:hAnsi="Arial" w:cs="Arial"/>
        </w:rPr>
        <w:t>ed</w:t>
      </w:r>
      <w:r w:rsidRPr="006201DA">
        <w:rPr>
          <w:rFonts w:ascii="Arial" w:hAnsi="Arial" w:cs="Arial"/>
        </w:rPr>
        <w:t xml:space="preserve"> that accessibility due to its relevance</w:t>
      </w:r>
      <w:r w:rsidR="006201DA" w:rsidRPr="006201DA">
        <w:rPr>
          <w:rFonts w:ascii="Arial" w:hAnsi="Arial" w:cs="Arial"/>
        </w:rPr>
        <w:t xml:space="preserve"> and </w:t>
      </w:r>
      <w:r w:rsidRPr="006201DA">
        <w:rPr>
          <w:rFonts w:ascii="Arial" w:hAnsi="Arial" w:cs="Arial"/>
        </w:rPr>
        <w:t>real-world impact allow</w:t>
      </w:r>
      <w:r w:rsidR="00C7413C" w:rsidRPr="006201DA">
        <w:rPr>
          <w:rFonts w:ascii="Arial" w:hAnsi="Arial" w:cs="Arial"/>
        </w:rPr>
        <w:t>ed</w:t>
      </w:r>
      <w:r w:rsidRPr="006201DA">
        <w:rPr>
          <w:rFonts w:ascii="Arial" w:hAnsi="Arial" w:cs="Arial"/>
        </w:rPr>
        <w:t xml:space="preserve"> for meaningful research questions </w:t>
      </w:r>
      <w:r w:rsidR="00C7413C" w:rsidRPr="006201DA">
        <w:rPr>
          <w:rFonts w:ascii="Arial" w:hAnsi="Arial" w:cs="Arial"/>
        </w:rPr>
        <w:t xml:space="preserve">on </w:t>
      </w:r>
      <w:r w:rsidRPr="006201DA">
        <w:rPr>
          <w:rFonts w:ascii="Arial" w:hAnsi="Arial" w:cs="Arial"/>
        </w:rPr>
        <w:t>governance and compliance. Unit 3 highlight</w:t>
      </w:r>
      <w:r w:rsidR="00C7413C" w:rsidRPr="006201DA">
        <w:rPr>
          <w:rFonts w:ascii="Arial" w:hAnsi="Arial" w:cs="Arial"/>
        </w:rPr>
        <w:t>ed</w:t>
      </w:r>
      <w:r w:rsidRPr="006201DA">
        <w:rPr>
          <w:rFonts w:ascii="Arial" w:hAnsi="Arial" w:cs="Arial"/>
        </w:rPr>
        <w:t xml:space="preserve"> research methods, </w:t>
      </w:r>
      <w:r w:rsidR="001D5805" w:rsidRPr="006201DA">
        <w:rPr>
          <w:rFonts w:ascii="Arial" w:hAnsi="Arial" w:cs="Arial"/>
        </w:rPr>
        <w:t xml:space="preserve">such as </w:t>
      </w:r>
      <w:r w:rsidRPr="006201DA">
        <w:rPr>
          <w:rFonts w:ascii="Arial" w:hAnsi="Arial" w:cs="Arial"/>
        </w:rPr>
        <w:t>qualitative approaches (e.g., interviews)</w:t>
      </w:r>
      <w:r w:rsidR="001D5805" w:rsidRPr="006201DA">
        <w:rPr>
          <w:rFonts w:ascii="Arial" w:hAnsi="Arial" w:cs="Arial"/>
        </w:rPr>
        <w:t xml:space="preserve"> and </w:t>
      </w:r>
      <w:r w:rsidRPr="006201DA">
        <w:rPr>
          <w:rFonts w:ascii="Arial" w:hAnsi="Arial" w:cs="Arial"/>
        </w:rPr>
        <w:t>quantitative measures (e.g., compliance metrics</w:t>
      </w:r>
      <w:r w:rsidR="001D5805" w:rsidRPr="006201DA">
        <w:rPr>
          <w:rFonts w:ascii="Arial" w:hAnsi="Arial" w:cs="Arial"/>
        </w:rPr>
        <w:t>)</w:t>
      </w:r>
      <w:r w:rsidRPr="006201DA">
        <w:rPr>
          <w:rFonts w:ascii="Arial" w:hAnsi="Arial" w:cs="Arial"/>
        </w:rPr>
        <w:t xml:space="preserve"> to capture both technical and human factors.</w:t>
      </w:r>
    </w:p>
    <w:p w14:paraId="214E708C" w14:textId="70CCB12E" w:rsidR="00BF0255" w:rsidRPr="006201DA" w:rsidRDefault="00F27217">
      <w:pPr>
        <w:rPr>
          <w:rFonts w:ascii="Arial" w:hAnsi="Arial" w:cs="Arial"/>
        </w:rPr>
      </w:pPr>
      <w:r w:rsidRPr="006201DA">
        <w:rPr>
          <w:rFonts w:ascii="Arial" w:hAnsi="Arial" w:cs="Arial"/>
        </w:rPr>
        <w:t xml:space="preserve">In conclusion, the case </w:t>
      </w:r>
      <w:r w:rsidR="0047202A" w:rsidRPr="006201DA">
        <w:rPr>
          <w:rFonts w:ascii="Arial" w:hAnsi="Arial" w:cs="Arial"/>
        </w:rPr>
        <w:t>exemplifies</w:t>
      </w:r>
      <w:r w:rsidRPr="006201DA">
        <w:rPr>
          <w:rFonts w:ascii="Arial" w:hAnsi="Arial" w:cs="Arial"/>
        </w:rPr>
        <w:t xml:space="preserve"> that accessibility must be treated as a core quality and ethical requirement, supported by legal awareness and strong governance. </w:t>
      </w:r>
    </w:p>
    <w:sectPr w:rsidR="00BF0255" w:rsidRPr="006201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217"/>
    <w:rsid w:val="000117FD"/>
    <w:rsid w:val="00020074"/>
    <w:rsid w:val="001D5805"/>
    <w:rsid w:val="00312E68"/>
    <w:rsid w:val="0031621A"/>
    <w:rsid w:val="003A0622"/>
    <w:rsid w:val="004157BF"/>
    <w:rsid w:val="0047202A"/>
    <w:rsid w:val="005778DF"/>
    <w:rsid w:val="006201DA"/>
    <w:rsid w:val="00710ED0"/>
    <w:rsid w:val="007F3225"/>
    <w:rsid w:val="008A76BB"/>
    <w:rsid w:val="008C0259"/>
    <w:rsid w:val="009B3B43"/>
    <w:rsid w:val="00AA1D19"/>
    <w:rsid w:val="00B109BB"/>
    <w:rsid w:val="00BF0255"/>
    <w:rsid w:val="00BF7238"/>
    <w:rsid w:val="00C027E2"/>
    <w:rsid w:val="00C47DF3"/>
    <w:rsid w:val="00C7413C"/>
    <w:rsid w:val="00D87BFD"/>
    <w:rsid w:val="00DE0A31"/>
    <w:rsid w:val="00EF5C4A"/>
    <w:rsid w:val="00F27217"/>
    <w:rsid w:val="00F56766"/>
    <w:rsid w:val="00F7687C"/>
    <w:rsid w:val="00FB3BE0"/>
    <w:rsid w:val="00FF5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D8768"/>
  <w15:chartTrackingRefBased/>
  <w15:docId w15:val="{0C31EF62-4062-45AC-8045-92042309E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217"/>
    <w:rPr>
      <w:rFonts w:eastAsiaTheme="majorEastAsia" w:cstheme="majorBidi"/>
      <w:color w:val="272727" w:themeColor="text1" w:themeTint="D8"/>
    </w:rPr>
  </w:style>
  <w:style w:type="paragraph" w:styleId="Title">
    <w:name w:val="Title"/>
    <w:basedOn w:val="Normal"/>
    <w:next w:val="Normal"/>
    <w:link w:val="TitleChar"/>
    <w:uiPriority w:val="10"/>
    <w:qFormat/>
    <w:rsid w:val="00F27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217"/>
    <w:pPr>
      <w:spacing w:before="160"/>
      <w:jc w:val="center"/>
    </w:pPr>
    <w:rPr>
      <w:i/>
      <w:iCs/>
      <w:color w:val="404040" w:themeColor="text1" w:themeTint="BF"/>
    </w:rPr>
  </w:style>
  <w:style w:type="character" w:customStyle="1" w:styleId="QuoteChar">
    <w:name w:val="Quote Char"/>
    <w:basedOn w:val="DefaultParagraphFont"/>
    <w:link w:val="Quote"/>
    <w:uiPriority w:val="29"/>
    <w:rsid w:val="00F27217"/>
    <w:rPr>
      <w:i/>
      <w:iCs/>
      <w:color w:val="404040" w:themeColor="text1" w:themeTint="BF"/>
    </w:rPr>
  </w:style>
  <w:style w:type="paragraph" w:styleId="ListParagraph">
    <w:name w:val="List Paragraph"/>
    <w:basedOn w:val="Normal"/>
    <w:uiPriority w:val="34"/>
    <w:qFormat/>
    <w:rsid w:val="00F27217"/>
    <w:pPr>
      <w:ind w:left="720"/>
      <w:contextualSpacing/>
    </w:pPr>
  </w:style>
  <w:style w:type="character" w:styleId="IntenseEmphasis">
    <w:name w:val="Intense Emphasis"/>
    <w:basedOn w:val="DefaultParagraphFont"/>
    <w:uiPriority w:val="21"/>
    <w:qFormat/>
    <w:rsid w:val="00F27217"/>
    <w:rPr>
      <w:i/>
      <w:iCs/>
      <w:color w:val="0F4761" w:themeColor="accent1" w:themeShade="BF"/>
    </w:rPr>
  </w:style>
  <w:style w:type="paragraph" w:styleId="IntenseQuote">
    <w:name w:val="Intense Quote"/>
    <w:basedOn w:val="Normal"/>
    <w:next w:val="Normal"/>
    <w:link w:val="IntenseQuoteChar"/>
    <w:uiPriority w:val="30"/>
    <w:qFormat/>
    <w:rsid w:val="00F27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217"/>
    <w:rPr>
      <w:i/>
      <w:iCs/>
      <w:color w:val="0F4761" w:themeColor="accent1" w:themeShade="BF"/>
    </w:rPr>
  </w:style>
  <w:style w:type="character" w:styleId="IntenseReference">
    <w:name w:val="Intense Reference"/>
    <w:basedOn w:val="DefaultParagraphFont"/>
    <w:uiPriority w:val="32"/>
    <w:qFormat/>
    <w:rsid w:val="00F272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332</Words>
  <Characters>2197</Characters>
  <Application>Microsoft Office Word</Application>
  <DocSecurity>0</DocSecurity>
  <Lines>32</Lines>
  <Paragraphs>5</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Fiaz Ali</cp:lastModifiedBy>
  <cp:revision>23</cp:revision>
  <dcterms:created xsi:type="dcterms:W3CDTF">2026-05-18T12:59:00Z</dcterms:created>
  <dcterms:modified xsi:type="dcterms:W3CDTF">2026-05-20T15:03:00Z</dcterms:modified>
</cp:coreProperties>
</file>