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568D8" w14:textId="77777777" w:rsidR="00CE44BD" w:rsidRPr="00CE44BD" w:rsidRDefault="00CE44BD" w:rsidP="00CE44BD">
      <w:pPr>
        <w:spacing w:line="480" w:lineRule="auto"/>
        <w:jc w:val="both"/>
        <w:rPr>
          <w:rFonts w:ascii="Times New Roman" w:eastAsia="Times New Roman" w:hAnsi="Times New Roman" w:cs="Times New Roman"/>
          <w:kern w:val="0"/>
          <w:lang w:val="en-GB" w:eastAsia="it-IT"/>
          <w14:ligatures w14:val="none"/>
        </w:rPr>
      </w:pPr>
      <w:r w:rsidRPr="00CE44BD">
        <w:rPr>
          <w:rFonts w:ascii="Aptos" w:eastAsia="Times New Roman" w:hAnsi="Aptos" w:cs="Times New Roman"/>
          <w:b/>
          <w:bCs/>
          <w:color w:val="000000"/>
          <w:kern w:val="0"/>
          <w:sz w:val="40"/>
          <w:szCs w:val="40"/>
          <w:lang w:val="en-GB" w:eastAsia="it-IT"/>
          <w14:ligatures w14:val="none"/>
        </w:rPr>
        <w:t>Development Team Project: Project Report</w:t>
      </w:r>
    </w:p>
    <w:p w14:paraId="27540541" w14:textId="77777777" w:rsidR="00CE44BD" w:rsidRPr="00CE44BD" w:rsidRDefault="00CE44BD" w:rsidP="00CE44BD">
      <w:pPr>
        <w:spacing w:line="480" w:lineRule="auto"/>
        <w:jc w:val="both"/>
        <w:rPr>
          <w:rFonts w:ascii="Times New Roman" w:eastAsia="Times New Roman" w:hAnsi="Times New Roman" w:cs="Times New Roman"/>
          <w:b/>
          <w:bCs/>
          <w:color w:val="000000" w:themeColor="text1"/>
          <w:kern w:val="0"/>
          <w:lang w:val="en-GB" w:eastAsia="it-IT"/>
          <w14:ligatures w14:val="none"/>
        </w:rPr>
      </w:pPr>
      <w:r w:rsidRPr="00CE44BD">
        <w:rPr>
          <w:rFonts w:ascii="Aptos" w:eastAsia="Times New Roman" w:hAnsi="Aptos" w:cs="Times New Roman"/>
          <w:b/>
          <w:bCs/>
          <w:color w:val="000000" w:themeColor="text1"/>
          <w:kern w:val="0"/>
          <w:lang w:val="en-GB" w:eastAsia="it-IT"/>
          <w14:ligatures w14:val="none"/>
        </w:rPr>
        <w:t>   </w:t>
      </w:r>
    </w:p>
    <w:p w14:paraId="5D5A5FD6" w14:textId="77777777" w:rsidR="00CE44BD" w:rsidRPr="00CE44BD" w:rsidRDefault="00CE44BD" w:rsidP="00CE44BD">
      <w:pPr>
        <w:spacing w:after="0" w:line="480" w:lineRule="auto"/>
        <w:jc w:val="both"/>
        <w:rPr>
          <w:rFonts w:ascii="Arial" w:eastAsia="Times New Roman" w:hAnsi="Arial" w:cs="Arial"/>
          <w:b/>
          <w:bCs/>
          <w:color w:val="000000" w:themeColor="text1"/>
          <w:kern w:val="0"/>
          <w:lang w:val="en-GB" w:eastAsia="it-IT"/>
          <w14:ligatures w14:val="none"/>
        </w:rPr>
      </w:pPr>
      <w:r w:rsidRPr="00CE44BD">
        <w:rPr>
          <w:rFonts w:ascii="Arial" w:eastAsia="Times New Roman" w:hAnsi="Arial" w:cs="Arial"/>
          <w:b/>
          <w:bCs/>
          <w:color w:val="000000" w:themeColor="text1"/>
          <w:kern w:val="0"/>
          <w:lang w:val="en-GB" w:eastAsia="it-IT"/>
          <w14:ligatures w14:val="none"/>
        </w:rPr>
        <w:t>CDC Group Healthcare Database  </w:t>
      </w:r>
    </w:p>
    <w:p w14:paraId="6F1B6AAF"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t xml:space="preserve">Healthcare databases manage critical patient records, appointments, billing, and insurance data securely. According to Kline: </w:t>
      </w:r>
      <w:bookmarkStart w:id="0" w:name="_Hlk219101423"/>
      <w:r w:rsidRPr="00CE44BD">
        <w:rPr>
          <w:rFonts w:ascii="Arial" w:eastAsia="Times New Roman" w:hAnsi="Arial" w:cs="Arial"/>
          <w:color w:val="000000"/>
          <w:kern w:val="0"/>
          <w:lang w:val="en-GB" w:eastAsia="it-IT"/>
          <w14:ligatures w14:val="none"/>
        </w:rPr>
        <w:t xml:space="preserve">“Databases are one of the most important components of a high-functioning healthcare organization” </w:t>
      </w:r>
      <w:r w:rsidRPr="00CE44BD">
        <w:rPr>
          <w:rFonts w:ascii="Arial" w:eastAsia="Times New Roman" w:hAnsi="Arial" w:cs="Arial"/>
          <w:color w:val="000000"/>
          <w:kern w:val="0"/>
          <w:shd w:val="clear" w:color="auto" w:fill="FFFFFF"/>
          <w:lang w:val="en-GB" w:eastAsia="it-IT"/>
          <w14:ligatures w14:val="none"/>
        </w:rPr>
        <w:t>(Kevin Kline, 2024).</w:t>
      </w:r>
    </w:p>
    <w:bookmarkEnd w:id="0"/>
    <w:p w14:paraId="09D8A288" w14:textId="605A58E3" w:rsidR="00CE44BD" w:rsidRPr="00CE44BD" w:rsidRDefault="00CE44BD" w:rsidP="00CE44BD">
      <w:p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t>The CDC Group logical database is designed to manage the clinical and administrative data of patients and invoices by integrating information from electronic medical records (EMR), picture archiving, laboratory information</w:t>
      </w:r>
      <w:r>
        <w:rPr>
          <w:rFonts w:ascii="Arial" w:eastAsia="Times New Roman" w:hAnsi="Arial" w:cs="Arial"/>
          <w:color w:val="000000"/>
          <w:kern w:val="0"/>
          <w:lang w:val="en-GB" w:eastAsia="it-IT"/>
          <w14:ligatures w14:val="none"/>
        </w:rPr>
        <w:t>,</w:t>
      </w:r>
      <w:r w:rsidRPr="00CE44BD">
        <w:rPr>
          <w:rFonts w:ascii="Arial" w:eastAsia="Times New Roman" w:hAnsi="Arial" w:cs="Arial"/>
          <w:color w:val="000000"/>
          <w:kern w:val="0"/>
          <w:lang w:val="en-GB" w:eastAsia="it-IT"/>
          <w14:ligatures w14:val="none"/>
        </w:rPr>
        <w:t xml:space="preserve"> and communication systems, together with insurance databases, thus improving efficiency, data integration, and traceability. Microsoft SQL Server was chosen as the preferred DBMS</w:t>
      </w:r>
      <w:r>
        <w:rPr>
          <w:rFonts w:ascii="Arial" w:eastAsia="Times New Roman" w:hAnsi="Arial" w:cs="Arial"/>
          <w:color w:val="000000"/>
          <w:kern w:val="0"/>
          <w:lang w:val="en-GB" w:eastAsia="it-IT"/>
          <w14:ligatures w14:val="none"/>
        </w:rPr>
        <w:t>,</w:t>
      </w:r>
      <w:r w:rsidRPr="00CE44BD">
        <w:rPr>
          <w:rFonts w:ascii="Arial" w:eastAsia="Times New Roman" w:hAnsi="Arial" w:cs="Arial"/>
          <w:color w:val="000000"/>
          <w:kern w:val="0"/>
          <w:lang w:val="en-GB" w:eastAsia="it-IT"/>
          <w14:ligatures w14:val="none"/>
        </w:rPr>
        <w:t xml:space="preserve"> which offers</w:t>
      </w:r>
      <w:r>
        <w:rPr>
          <w:rFonts w:ascii="Arial" w:eastAsia="Times New Roman" w:hAnsi="Arial" w:cs="Arial"/>
          <w:color w:val="000000"/>
          <w:kern w:val="0"/>
          <w:lang w:val="en-GB" w:eastAsia="it-IT"/>
          <w14:ligatures w14:val="none"/>
        </w:rPr>
        <w:t xml:space="preserve"> </w:t>
      </w:r>
      <w:r w:rsidRPr="00CE44BD">
        <w:rPr>
          <w:rFonts w:ascii="Arial" w:eastAsia="Times New Roman" w:hAnsi="Arial" w:cs="Arial"/>
          <w:color w:val="000000"/>
          <w:kern w:val="0"/>
          <w:lang w:val="en-GB" w:eastAsia="it-IT"/>
          <w14:ligatures w14:val="none"/>
        </w:rPr>
        <w:t>tight integration with the Microsoft ecosystem, strong governance</w:t>
      </w:r>
      <w:r>
        <w:rPr>
          <w:rFonts w:ascii="Arial" w:eastAsia="Times New Roman" w:hAnsi="Arial" w:cs="Arial"/>
          <w:color w:val="000000"/>
          <w:kern w:val="0"/>
          <w:lang w:val="en-GB" w:eastAsia="it-IT"/>
          <w14:ligatures w14:val="none"/>
        </w:rPr>
        <w:t>,</w:t>
      </w:r>
      <w:r w:rsidRPr="00CE44BD">
        <w:rPr>
          <w:rFonts w:ascii="Arial" w:eastAsia="Times New Roman" w:hAnsi="Arial" w:cs="Arial"/>
          <w:color w:val="000000"/>
          <w:kern w:val="0"/>
          <w:lang w:val="en-GB" w:eastAsia="it-IT"/>
          <w14:ligatures w14:val="none"/>
        </w:rPr>
        <w:t xml:space="preserve"> and built-in HIPAA compliance frameworks. An XTIVIA article supports this by stating</w:t>
      </w:r>
      <w:r w:rsidR="004C77D6">
        <w:rPr>
          <w:rFonts w:ascii="Arial" w:eastAsia="Times New Roman" w:hAnsi="Arial" w:cs="Arial"/>
          <w:color w:val="000000"/>
          <w:kern w:val="0"/>
          <w:lang w:val="en-GB" w:eastAsia="it-IT"/>
          <w14:ligatures w14:val="none"/>
        </w:rPr>
        <w:t>: “</w:t>
      </w:r>
      <w:r w:rsidRPr="00CE44BD">
        <w:rPr>
          <w:rFonts w:ascii="Arial" w:eastAsia="Times New Roman" w:hAnsi="Arial" w:cs="Arial"/>
          <w:color w:val="000000"/>
          <w:kern w:val="0"/>
          <w:shd w:val="clear" w:color="auto" w:fill="FFFFFF"/>
          <w:lang w:val="en-GB" w:eastAsia="it-IT"/>
          <w14:ligatures w14:val="none"/>
        </w:rPr>
        <w:t xml:space="preserve">SQL Server integrates seamlessly with other Microsoft products, such as SharePoint and </w:t>
      </w:r>
      <w:proofErr w:type="spellStart"/>
      <w:r w:rsidRPr="00CE44BD">
        <w:rPr>
          <w:rFonts w:ascii="Arial" w:eastAsia="Times New Roman" w:hAnsi="Arial" w:cs="Arial"/>
          <w:color w:val="000000"/>
          <w:kern w:val="0"/>
          <w:shd w:val="clear" w:color="auto" w:fill="FFFFFF"/>
          <w:lang w:val="en-GB" w:eastAsia="it-IT"/>
          <w14:ligatures w14:val="none"/>
        </w:rPr>
        <w:t>PowerBI</w:t>
      </w:r>
      <w:proofErr w:type="spellEnd"/>
      <w:r w:rsidRPr="00CE44BD">
        <w:rPr>
          <w:rFonts w:ascii="Arial" w:eastAsia="Times New Roman" w:hAnsi="Arial" w:cs="Arial"/>
          <w:color w:val="000000"/>
          <w:kern w:val="0"/>
          <w:shd w:val="clear" w:color="auto" w:fill="FFFFFF"/>
          <w:lang w:val="en-GB" w:eastAsia="it-IT"/>
          <w14:ligatures w14:val="none"/>
        </w:rPr>
        <w:t>, making it easier to work with data across platforms</w:t>
      </w:r>
      <w:r w:rsidR="004C77D6">
        <w:rPr>
          <w:rFonts w:ascii="Arial" w:eastAsia="Times New Roman" w:hAnsi="Arial" w:cs="Arial"/>
          <w:color w:val="000000"/>
          <w:kern w:val="0"/>
          <w:shd w:val="clear" w:color="auto" w:fill="FFFFFF"/>
          <w:lang w:val="en-GB" w:eastAsia="it-IT"/>
          <w14:ligatures w14:val="none"/>
        </w:rPr>
        <w:t>”</w:t>
      </w:r>
      <w:r w:rsidRPr="00CE44BD">
        <w:rPr>
          <w:rFonts w:ascii="Arial" w:eastAsia="Times New Roman" w:hAnsi="Arial" w:cs="Arial"/>
          <w:color w:val="000000"/>
          <w:kern w:val="0"/>
          <w:shd w:val="clear" w:color="auto" w:fill="FFFFFF"/>
          <w:lang w:val="en-GB" w:eastAsia="it-IT"/>
          <w14:ligatures w14:val="none"/>
        </w:rPr>
        <w:t>. (XTIVIA, 2023)</w:t>
      </w:r>
    </w:p>
    <w:p w14:paraId="56DFDE8C"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p>
    <w:p w14:paraId="656981F7" w14:textId="77777777" w:rsidR="00CE44BD" w:rsidRPr="00CE44BD" w:rsidRDefault="00CE44BD" w:rsidP="00CE44BD">
      <w:pPr>
        <w:spacing w:after="0" w:line="480" w:lineRule="auto"/>
        <w:jc w:val="both"/>
        <w:rPr>
          <w:rFonts w:ascii="Arial" w:eastAsia="Times New Roman" w:hAnsi="Arial" w:cs="Arial"/>
          <w:b/>
          <w:bCs/>
          <w:color w:val="000000" w:themeColor="text1"/>
          <w:kern w:val="0"/>
          <w:lang w:val="en-GB" w:eastAsia="it-IT"/>
          <w14:ligatures w14:val="none"/>
        </w:rPr>
      </w:pPr>
      <w:r w:rsidRPr="00CE44BD">
        <w:rPr>
          <w:rFonts w:ascii="Arial" w:eastAsia="Times New Roman" w:hAnsi="Arial" w:cs="Arial"/>
          <w:b/>
          <w:bCs/>
          <w:color w:val="000000" w:themeColor="text1"/>
          <w:kern w:val="0"/>
          <w:lang w:val="en-GB" w:eastAsia="it-IT"/>
          <w14:ligatures w14:val="none"/>
        </w:rPr>
        <w:t>Entity-Relationship (ER) </w:t>
      </w:r>
    </w:p>
    <w:p w14:paraId="1BABCA28" w14:textId="43B2708B" w:rsidR="00CE44BD" w:rsidRPr="00CE44BD" w:rsidRDefault="00CE44BD" w:rsidP="00CE44BD">
      <w:p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shd w:val="clear" w:color="auto" w:fill="FFFFFF"/>
          <w:lang w:val="en-GB" w:eastAsia="it-IT"/>
          <w14:ligatures w14:val="none"/>
        </w:rPr>
        <w:t>The entity-relationship diagram visually shows the relationship between different items in a database. IBM agrees by stating</w:t>
      </w:r>
      <w:r w:rsidR="004C77D6">
        <w:rPr>
          <w:rFonts w:ascii="Arial" w:eastAsia="Times New Roman" w:hAnsi="Arial" w:cs="Arial"/>
          <w:color w:val="000000"/>
          <w:kern w:val="0"/>
          <w:shd w:val="clear" w:color="auto" w:fill="FFFFFF"/>
          <w:lang w:val="en-GB" w:eastAsia="it-IT"/>
          <w14:ligatures w14:val="none"/>
        </w:rPr>
        <w:t>:</w:t>
      </w:r>
      <w:r w:rsidRPr="00CE44BD">
        <w:rPr>
          <w:rFonts w:ascii="Arial" w:eastAsia="Times New Roman" w:hAnsi="Arial" w:cs="Arial"/>
          <w:color w:val="000000"/>
          <w:kern w:val="0"/>
          <w:shd w:val="clear" w:color="auto" w:fill="FFFFFF"/>
          <w:lang w:val="en-GB" w:eastAsia="it-IT"/>
          <w14:ligatures w14:val="none"/>
        </w:rPr>
        <w:t xml:space="preserve"> “ERDs are a high-level conceptual data model that sets the stage for more advanced database design and analysis”. (Belcic and Stryker, 2024)</w:t>
      </w:r>
    </w:p>
    <w:p w14:paraId="287729D0"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p>
    <w:p w14:paraId="7E8BDCC3"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b/>
          <w:bCs/>
          <w:color w:val="000000"/>
          <w:kern w:val="0"/>
          <w:lang w:val="en-GB" w:eastAsia="it-IT"/>
          <w14:ligatures w14:val="none"/>
        </w:rPr>
        <w:t>Core entities include</w:t>
      </w:r>
      <w:r w:rsidRPr="00CE44BD">
        <w:rPr>
          <w:rFonts w:ascii="Arial" w:eastAsia="Times New Roman" w:hAnsi="Arial" w:cs="Arial"/>
          <w:color w:val="000000"/>
          <w:kern w:val="0"/>
          <w:lang w:val="en-GB" w:eastAsia="it-IT"/>
          <w14:ligatures w14:val="none"/>
        </w:rPr>
        <w:t>:</w:t>
      </w:r>
    </w:p>
    <w:p w14:paraId="56A11AA0"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t>-    Patient: personal data and contacts.</w:t>
      </w:r>
    </w:p>
    <w:p w14:paraId="7D875AA4"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lastRenderedPageBreak/>
        <w:t>-    Doctor: personal information and their specialty.</w:t>
      </w:r>
    </w:p>
    <w:p w14:paraId="4CAD42B5" w14:textId="77777777" w:rsidR="00CE44BD" w:rsidRPr="00CE44BD" w:rsidRDefault="00CE44BD" w:rsidP="00CE44BD">
      <w:pPr>
        <w:spacing w:after="0" w:line="480" w:lineRule="auto"/>
        <w:ind w:right="-540"/>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t>-    Specialty: medical areas of competence.</w:t>
      </w:r>
    </w:p>
    <w:p w14:paraId="2DE500A2"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t>-    Appointment: patient visits with the date and time.</w:t>
      </w:r>
    </w:p>
    <w:p w14:paraId="45560963"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t>-    Treatment: clinical intervention and medical notes.</w:t>
      </w:r>
    </w:p>
    <w:p w14:paraId="10B30032"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t>-    Invoice: treatment invoice with the amount, payment type and linked insurance.</w:t>
      </w:r>
    </w:p>
    <w:p w14:paraId="3E1B40DA"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t>-     Insurance: affiliated providers.</w:t>
      </w:r>
    </w:p>
    <w:p w14:paraId="3693B7FF"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p>
    <w:p w14:paraId="5C069271"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t>Each entity has a unique identifier that allows the data to be connected among the different tables. Considering the type of data in our database, the principal data types are integers because they are used as primary keys and references among the tables. In addition, there will be variable character data for textual information, date (DD-MM-YYYY), or date and time (DD-MM-YYYY HH: MM), mostly in the client and appointment entities, and decimal values for the payment amounts. It is important to underline that the primary key guarantees the records ' uniqueness, and the foreign key will be used to connect one table to another.</w:t>
      </w:r>
    </w:p>
    <w:p w14:paraId="032CECF8"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p>
    <w:p w14:paraId="6D8B997E"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b/>
          <w:bCs/>
          <w:color w:val="000000"/>
          <w:kern w:val="0"/>
          <w:lang w:val="en-GB" w:eastAsia="it-IT"/>
          <w14:ligatures w14:val="none"/>
        </w:rPr>
        <w:t>Relationships:</w:t>
      </w:r>
    </w:p>
    <w:p w14:paraId="1F8C67D8" w14:textId="01D86B79" w:rsidR="00CE44BD" w:rsidRPr="00CE44BD" w:rsidRDefault="00CE44BD" w:rsidP="00CE44BD">
      <w:pPr>
        <w:pStyle w:val="ListParagraph"/>
        <w:numPr>
          <w:ilvl w:val="0"/>
          <w:numId w:val="1"/>
        </w:num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t xml:space="preserve">Patient-Appointment: </w:t>
      </w:r>
      <w:r w:rsidR="00B339AA">
        <w:rPr>
          <w:rFonts w:ascii="Arial" w:eastAsia="Times New Roman" w:hAnsi="Arial" w:cs="Arial"/>
          <w:color w:val="000000"/>
          <w:kern w:val="0"/>
          <w:lang w:val="en-GB" w:eastAsia="it-IT"/>
          <w14:ligatures w14:val="none"/>
        </w:rPr>
        <w:t>one</w:t>
      </w:r>
      <w:r w:rsidRPr="00CE44BD">
        <w:rPr>
          <w:rFonts w:ascii="Arial" w:eastAsia="Times New Roman" w:hAnsi="Arial" w:cs="Arial"/>
          <w:color w:val="000000"/>
          <w:kern w:val="0"/>
          <w:lang w:val="en-GB" w:eastAsia="it-IT"/>
          <w14:ligatures w14:val="none"/>
        </w:rPr>
        <w:t xml:space="preserve"> patient can </w:t>
      </w:r>
      <w:r w:rsidR="00B339AA">
        <w:rPr>
          <w:rFonts w:ascii="Arial" w:eastAsia="Times New Roman" w:hAnsi="Arial" w:cs="Arial"/>
          <w:color w:val="000000"/>
          <w:kern w:val="0"/>
          <w:lang w:val="en-GB" w:eastAsia="it-IT"/>
          <w14:ligatures w14:val="none"/>
        </w:rPr>
        <w:t>schedule</w:t>
      </w:r>
      <w:r w:rsidRPr="00CE44BD">
        <w:rPr>
          <w:rFonts w:ascii="Arial" w:eastAsia="Times New Roman" w:hAnsi="Arial" w:cs="Arial"/>
          <w:color w:val="000000"/>
          <w:kern w:val="0"/>
          <w:lang w:val="en-GB" w:eastAsia="it-IT"/>
          <w14:ligatures w14:val="none"/>
        </w:rPr>
        <w:t xml:space="preserve"> </w:t>
      </w:r>
      <w:r w:rsidR="00B339AA">
        <w:rPr>
          <w:rFonts w:ascii="Arial" w:eastAsia="Times New Roman" w:hAnsi="Arial" w:cs="Arial"/>
          <w:color w:val="000000"/>
          <w:kern w:val="0"/>
          <w:lang w:val="en-GB" w:eastAsia="it-IT"/>
          <w14:ligatures w14:val="none"/>
        </w:rPr>
        <w:t xml:space="preserve">numerous </w:t>
      </w:r>
      <w:r w:rsidRPr="00CE44BD">
        <w:rPr>
          <w:rFonts w:ascii="Arial" w:eastAsia="Times New Roman" w:hAnsi="Arial" w:cs="Arial"/>
          <w:color w:val="000000"/>
          <w:kern w:val="0"/>
          <w:lang w:val="en-GB" w:eastAsia="it-IT"/>
          <w14:ligatures w14:val="none"/>
        </w:rPr>
        <w:t xml:space="preserve">appointments; each appointment is tied </w:t>
      </w:r>
      <w:r w:rsidR="004C77D6" w:rsidRPr="00CE44BD">
        <w:rPr>
          <w:rFonts w:ascii="Arial" w:eastAsia="Times New Roman" w:hAnsi="Arial" w:cs="Arial"/>
          <w:color w:val="000000"/>
          <w:kern w:val="0"/>
          <w:lang w:val="en-GB" w:eastAsia="it-IT"/>
          <w14:ligatures w14:val="none"/>
        </w:rPr>
        <w:t xml:space="preserve">to </w:t>
      </w:r>
      <w:r w:rsidR="004C77D6">
        <w:rPr>
          <w:rFonts w:ascii="Arial" w:eastAsia="Times New Roman" w:hAnsi="Arial" w:cs="Arial"/>
          <w:color w:val="000000"/>
          <w:kern w:val="0"/>
          <w:lang w:val="en-GB" w:eastAsia="it-IT"/>
          <w14:ligatures w14:val="none"/>
        </w:rPr>
        <w:t>a</w:t>
      </w:r>
      <w:r w:rsidR="00B339AA">
        <w:rPr>
          <w:rFonts w:ascii="Arial" w:eastAsia="Times New Roman" w:hAnsi="Arial" w:cs="Arial"/>
          <w:color w:val="000000"/>
          <w:kern w:val="0"/>
          <w:lang w:val="en-GB" w:eastAsia="it-IT"/>
          <w14:ligatures w14:val="none"/>
        </w:rPr>
        <w:t xml:space="preserve"> single</w:t>
      </w:r>
      <w:r w:rsidRPr="00CE44BD">
        <w:rPr>
          <w:rFonts w:ascii="Arial" w:eastAsia="Times New Roman" w:hAnsi="Arial" w:cs="Arial"/>
          <w:color w:val="000000"/>
          <w:kern w:val="0"/>
          <w:lang w:val="en-GB" w:eastAsia="it-IT"/>
          <w14:ligatures w14:val="none"/>
        </w:rPr>
        <w:t xml:space="preserve"> patient (</w:t>
      </w:r>
      <w:proofErr w:type="gramStart"/>
      <w:r w:rsidRPr="00CE44BD">
        <w:rPr>
          <w:rFonts w:ascii="Arial" w:eastAsia="Times New Roman" w:hAnsi="Arial" w:cs="Arial"/>
          <w:color w:val="000000"/>
          <w:kern w:val="0"/>
          <w:lang w:val="en-GB" w:eastAsia="it-IT"/>
          <w14:ligatures w14:val="none"/>
        </w:rPr>
        <w:t>1:N</w:t>
      </w:r>
      <w:proofErr w:type="gramEnd"/>
      <w:r w:rsidRPr="00CE44BD">
        <w:rPr>
          <w:rFonts w:ascii="Arial" w:eastAsia="Times New Roman" w:hAnsi="Arial" w:cs="Arial"/>
          <w:color w:val="000000"/>
          <w:kern w:val="0"/>
          <w:lang w:val="en-GB" w:eastAsia="it-IT"/>
          <w14:ligatures w14:val="none"/>
        </w:rPr>
        <w:t xml:space="preserve"> )</w:t>
      </w:r>
    </w:p>
    <w:p w14:paraId="6878979E" w14:textId="1A404ABC" w:rsidR="00CE44BD" w:rsidRPr="00CE44BD" w:rsidRDefault="00CE44BD" w:rsidP="00CE44BD">
      <w:pPr>
        <w:pStyle w:val="ListParagraph"/>
        <w:numPr>
          <w:ilvl w:val="0"/>
          <w:numId w:val="1"/>
        </w:num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t xml:space="preserve">Doctor-Appointment: a doctor </w:t>
      </w:r>
      <w:r w:rsidR="00B339AA">
        <w:rPr>
          <w:rFonts w:ascii="Arial" w:eastAsia="Times New Roman" w:hAnsi="Arial" w:cs="Arial"/>
          <w:color w:val="000000"/>
          <w:kern w:val="0"/>
          <w:lang w:val="en-GB" w:eastAsia="it-IT"/>
          <w14:ligatures w14:val="none"/>
        </w:rPr>
        <w:t>may have</w:t>
      </w:r>
      <w:r w:rsidRPr="00CE44BD">
        <w:rPr>
          <w:rFonts w:ascii="Arial" w:eastAsia="Times New Roman" w:hAnsi="Arial" w:cs="Arial"/>
          <w:color w:val="000000"/>
          <w:kern w:val="0"/>
          <w:lang w:val="en-GB" w:eastAsia="it-IT"/>
          <w14:ligatures w14:val="none"/>
        </w:rPr>
        <w:t xml:space="preserve"> </w:t>
      </w:r>
      <w:r w:rsidR="00B339AA">
        <w:rPr>
          <w:rFonts w:ascii="Arial" w:eastAsia="Times New Roman" w:hAnsi="Arial" w:cs="Arial"/>
          <w:color w:val="000000"/>
          <w:kern w:val="0"/>
          <w:lang w:val="en-GB" w:eastAsia="it-IT"/>
          <w14:ligatures w14:val="none"/>
        </w:rPr>
        <w:t>several</w:t>
      </w:r>
      <w:r w:rsidRPr="00CE44BD">
        <w:rPr>
          <w:rFonts w:ascii="Arial" w:eastAsia="Times New Roman" w:hAnsi="Arial" w:cs="Arial"/>
          <w:color w:val="000000"/>
          <w:kern w:val="0"/>
          <w:lang w:val="en-GB" w:eastAsia="it-IT"/>
          <w14:ligatures w14:val="none"/>
        </w:rPr>
        <w:t xml:space="preserve"> appointments, but each appointment is associated </w:t>
      </w:r>
      <w:r w:rsidR="004C77D6">
        <w:rPr>
          <w:rFonts w:ascii="Arial" w:eastAsia="Times New Roman" w:hAnsi="Arial" w:cs="Arial"/>
          <w:color w:val="000000"/>
          <w:kern w:val="0"/>
          <w:lang w:val="en-GB" w:eastAsia="it-IT"/>
          <w14:ligatures w14:val="none"/>
        </w:rPr>
        <w:t>with</w:t>
      </w:r>
      <w:r w:rsidR="00B339AA">
        <w:rPr>
          <w:rFonts w:ascii="Arial" w:eastAsia="Times New Roman" w:hAnsi="Arial" w:cs="Arial"/>
          <w:color w:val="000000"/>
          <w:kern w:val="0"/>
          <w:lang w:val="en-GB" w:eastAsia="it-IT"/>
          <w14:ligatures w14:val="none"/>
        </w:rPr>
        <w:t xml:space="preserve"> a single</w:t>
      </w:r>
      <w:r w:rsidRPr="00CE44BD">
        <w:rPr>
          <w:rFonts w:ascii="Arial" w:eastAsia="Times New Roman" w:hAnsi="Arial" w:cs="Arial"/>
          <w:color w:val="000000"/>
          <w:kern w:val="0"/>
          <w:lang w:val="en-GB" w:eastAsia="it-IT"/>
          <w14:ligatures w14:val="none"/>
        </w:rPr>
        <w:t xml:space="preserve"> doctor (</w:t>
      </w:r>
      <w:proofErr w:type="gramStart"/>
      <w:r w:rsidRPr="00CE44BD">
        <w:rPr>
          <w:rFonts w:ascii="Arial" w:eastAsia="Times New Roman" w:hAnsi="Arial" w:cs="Arial"/>
          <w:color w:val="000000"/>
          <w:kern w:val="0"/>
          <w:lang w:val="en-GB" w:eastAsia="it-IT"/>
          <w14:ligatures w14:val="none"/>
        </w:rPr>
        <w:t>1:N</w:t>
      </w:r>
      <w:proofErr w:type="gramEnd"/>
      <w:r w:rsidRPr="00CE44BD">
        <w:rPr>
          <w:rFonts w:ascii="Arial" w:eastAsia="Times New Roman" w:hAnsi="Arial" w:cs="Arial"/>
          <w:color w:val="000000"/>
          <w:kern w:val="0"/>
          <w:lang w:val="en-GB" w:eastAsia="it-IT"/>
          <w14:ligatures w14:val="none"/>
        </w:rPr>
        <w:t xml:space="preserve"> )</w:t>
      </w:r>
    </w:p>
    <w:p w14:paraId="755D738B" w14:textId="20075261" w:rsidR="00CE44BD" w:rsidRPr="00CE44BD" w:rsidRDefault="00CE44BD" w:rsidP="00CE44BD">
      <w:pPr>
        <w:pStyle w:val="ListParagraph"/>
        <w:numPr>
          <w:ilvl w:val="0"/>
          <w:numId w:val="1"/>
        </w:num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t>Appointment-treatment: one appointment produces one treatment (1:1)</w:t>
      </w:r>
    </w:p>
    <w:p w14:paraId="1D2691F6" w14:textId="3D939E76" w:rsidR="00CE44BD" w:rsidRPr="00CE44BD" w:rsidRDefault="00CE44BD" w:rsidP="00CE44BD">
      <w:pPr>
        <w:pStyle w:val="ListParagraph"/>
        <w:numPr>
          <w:ilvl w:val="0"/>
          <w:numId w:val="1"/>
        </w:num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t>Treatment-invoice: one treatment generates one invoice (1:1)</w:t>
      </w:r>
    </w:p>
    <w:p w14:paraId="6BBA4496" w14:textId="0DF27197" w:rsidR="00CE44BD" w:rsidRPr="00CE44BD" w:rsidRDefault="00CE44BD" w:rsidP="00CE44BD">
      <w:pPr>
        <w:pStyle w:val="ListParagraph"/>
        <w:numPr>
          <w:ilvl w:val="0"/>
          <w:numId w:val="1"/>
        </w:num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t>Invoice-Insurance Provider: multiple invoices can refer to the same insurance provider, each invoice to one provider (N:1)</w:t>
      </w:r>
    </w:p>
    <w:p w14:paraId="63E60D80" w14:textId="77777777" w:rsidR="00CE44BD" w:rsidRPr="00CE44BD" w:rsidRDefault="00CE44BD" w:rsidP="00CE44BD">
      <w:pPr>
        <w:spacing w:after="240" w:line="480" w:lineRule="auto"/>
        <w:jc w:val="both"/>
        <w:rPr>
          <w:rFonts w:ascii="Arial" w:eastAsia="Times New Roman" w:hAnsi="Arial" w:cs="Arial"/>
          <w:kern w:val="0"/>
          <w:lang w:val="en-GB" w:eastAsia="it-IT"/>
          <w14:ligatures w14:val="none"/>
        </w:rPr>
      </w:pPr>
    </w:p>
    <w:p w14:paraId="0BA0CDA1" w14:textId="68F6350B" w:rsidR="00CE44BD" w:rsidRDefault="00CE44BD" w:rsidP="00CE44BD">
      <w:pPr>
        <w:spacing w:after="0" w:line="480" w:lineRule="auto"/>
        <w:ind w:left="720"/>
        <w:jc w:val="both"/>
        <w:rPr>
          <w:rFonts w:ascii="Arial" w:eastAsia="Times New Roman" w:hAnsi="Arial" w:cs="Arial"/>
          <w:kern w:val="0"/>
          <w:lang w:val="en-GB" w:eastAsia="it-IT"/>
          <w14:ligatures w14:val="none"/>
        </w:rPr>
      </w:pPr>
      <w:r w:rsidRPr="00CE44BD">
        <w:rPr>
          <w:rFonts w:ascii="Arial" w:eastAsia="Times New Roman" w:hAnsi="Arial" w:cs="Arial"/>
          <w:noProof/>
          <w:color w:val="000000"/>
          <w:kern w:val="0"/>
          <w:bdr w:val="none" w:sz="0" w:space="0" w:color="auto" w:frame="1"/>
          <w:lang w:val="en-GB" w:eastAsia="it-IT"/>
          <w14:ligatures w14:val="none"/>
        </w:rPr>
        <w:drawing>
          <wp:inline distT="0" distB="0" distL="0" distR="0" wp14:anchorId="0759D663" wp14:editId="2BA0CC6E">
            <wp:extent cx="4712970" cy="2332990"/>
            <wp:effectExtent l="0" t="0" r="0" b="3810"/>
            <wp:docPr id="1857532550" name="Immagine 4" descr="Immagine che contiene diagramma, linea, schermata, Pi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32550" name="Immagine 4" descr="Immagine che contiene diagramma, linea, schermata, Piano&#10;&#10;Il contenuto generato dall'IA potrebbe non essere corret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12970" cy="2332990"/>
                    </a:xfrm>
                    <a:prstGeom prst="rect">
                      <a:avLst/>
                    </a:prstGeom>
                    <a:noFill/>
                    <a:ln>
                      <a:noFill/>
                    </a:ln>
                  </pic:spPr>
                </pic:pic>
              </a:graphicData>
            </a:graphic>
          </wp:inline>
        </w:drawing>
      </w:r>
    </w:p>
    <w:p w14:paraId="22C946DD" w14:textId="41FA7467" w:rsidR="004C77D6" w:rsidRPr="004C77D6" w:rsidRDefault="004C77D6" w:rsidP="004C77D6">
      <w:pPr>
        <w:pStyle w:val="ListParagraph"/>
        <w:numPr>
          <w:ilvl w:val="0"/>
          <w:numId w:val="3"/>
        </w:numPr>
        <w:spacing w:after="0" w:line="480" w:lineRule="auto"/>
        <w:jc w:val="both"/>
        <w:rPr>
          <w:rFonts w:ascii="Arial" w:eastAsia="Times New Roman" w:hAnsi="Arial" w:cs="Arial"/>
          <w:kern w:val="0"/>
          <w:sz w:val="16"/>
          <w:szCs w:val="16"/>
          <w:lang w:val="en-GB" w:eastAsia="it-IT"/>
          <w14:ligatures w14:val="none"/>
        </w:rPr>
      </w:pPr>
      <w:r w:rsidRPr="004C77D6">
        <w:rPr>
          <w:rFonts w:ascii="Arial" w:eastAsia="Times New Roman" w:hAnsi="Arial" w:cs="Arial"/>
          <w:kern w:val="0"/>
          <w:sz w:val="16"/>
          <w:szCs w:val="16"/>
          <w:lang w:val="en-GB" w:eastAsia="it-IT"/>
          <w14:ligatures w14:val="none"/>
        </w:rPr>
        <w:t>Relationship diagram between entities</w:t>
      </w:r>
    </w:p>
    <w:p w14:paraId="32FD6312" w14:textId="77777777" w:rsidR="00CE44BD" w:rsidRPr="00CE44BD" w:rsidRDefault="00CE44BD" w:rsidP="00CE44BD">
      <w:pPr>
        <w:spacing w:after="240" w:line="480" w:lineRule="auto"/>
        <w:jc w:val="both"/>
        <w:rPr>
          <w:rFonts w:ascii="Arial" w:eastAsia="Times New Roman" w:hAnsi="Arial" w:cs="Arial"/>
          <w:kern w:val="0"/>
          <w:lang w:val="en-GB" w:eastAsia="it-IT"/>
          <w14:ligatures w14:val="none"/>
        </w:rPr>
      </w:pPr>
    </w:p>
    <w:p w14:paraId="3DCE6B40" w14:textId="3A86CCB6" w:rsidR="00CE44BD" w:rsidRPr="00CE44BD" w:rsidRDefault="00CE44BD" w:rsidP="00CE44BD">
      <w:pPr>
        <w:spacing w:after="0" w:line="480" w:lineRule="auto"/>
        <w:ind w:left="180"/>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t xml:space="preserve">The logical model ensures consistent structuring of records imported from different systems. It adheres to ICD-10, LOINC, and DICOM standards, as recommended by Liu et al. (2023). In addition, to guarantee data quality and interoperability, the logical model employs two level </w:t>
      </w:r>
      <w:r w:rsidR="004C77D6" w:rsidRPr="00CE44BD">
        <w:rPr>
          <w:rFonts w:ascii="Arial" w:eastAsia="Times New Roman" w:hAnsi="Arial" w:cs="Arial"/>
          <w:color w:val="000000"/>
          <w:kern w:val="0"/>
          <w:lang w:val="en-GB" w:eastAsia="it-IT"/>
          <w14:ligatures w14:val="none"/>
        </w:rPr>
        <w:t>standardization</w:t>
      </w:r>
      <w:r w:rsidR="004C77D6">
        <w:rPr>
          <w:rFonts w:ascii="Arial" w:eastAsia="Times New Roman" w:hAnsi="Arial" w:cs="Arial"/>
          <w:color w:val="000000"/>
          <w:kern w:val="0"/>
          <w:lang w:val="en-GB" w:eastAsia="it-IT"/>
          <w14:ligatures w14:val="none"/>
        </w:rPr>
        <w:t xml:space="preserve"> </w:t>
      </w:r>
      <w:r w:rsidR="004C77D6" w:rsidRPr="00CE44BD">
        <w:rPr>
          <w:rFonts w:ascii="Arial" w:eastAsia="Times New Roman" w:hAnsi="Arial" w:cs="Arial"/>
          <w:color w:val="000000"/>
          <w:kern w:val="0"/>
          <w:lang w:val="en-GB" w:eastAsia="it-IT"/>
          <w14:ligatures w14:val="none"/>
        </w:rPr>
        <w:t>(openEHR</w:t>
      </w:r>
      <w:r w:rsidRPr="00CE44BD">
        <w:rPr>
          <w:rFonts w:ascii="Arial" w:eastAsia="Times New Roman" w:hAnsi="Arial" w:cs="Arial"/>
          <w:color w:val="000000"/>
          <w:kern w:val="0"/>
          <w:lang w:val="en-GB" w:eastAsia="it-IT"/>
          <w14:ligatures w14:val="none"/>
        </w:rPr>
        <w:t xml:space="preserve"> and ISO13606) and ontologies (OWL and RLF). Those would support the inferences and semantic rules and address fragmented data and heterogeneous systems (De Mello et al., 2022).</w:t>
      </w:r>
    </w:p>
    <w:p w14:paraId="32F55B8E"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p>
    <w:p w14:paraId="09C6203E" w14:textId="77777777" w:rsidR="00CE44BD" w:rsidRPr="00CE44BD" w:rsidRDefault="00CE44BD" w:rsidP="00CE44BD">
      <w:pPr>
        <w:spacing w:line="480" w:lineRule="auto"/>
        <w:jc w:val="both"/>
        <w:rPr>
          <w:rFonts w:ascii="Arial" w:eastAsia="Times New Roman" w:hAnsi="Arial" w:cs="Arial"/>
          <w:b/>
          <w:bCs/>
          <w:color w:val="000000" w:themeColor="text1"/>
          <w:kern w:val="0"/>
          <w:lang w:val="en-GB" w:eastAsia="it-IT"/>
          <w14:ligatures w14:val="none"/>
        </w:rPr>
      </w:pPr>
      <w:r w:rsidRPr="00CE44BD">
        <w:rPr>
          <w:rFonts w:ascii="Arial" w:eastAsia="Times New Roman" w:hAnsi="Arial" w:cs="Arial"/>
          <w:b/>
          <w:bCs/>
          <w:color w:val="000000" w:themeColor="text1"/>
          <w:kern w:val="0"/>
          <w:lang w:val="en-GB" w:eastAsia="it-IT"/>
          <w14:ligatures w14:val="none"/>
        </w:rPr>
        <w:t>CDC Group Healthcare System Data Management Pipeline Data</w:t>
      </w:r>
    </w:p>
    <w:p w14:paraId="10CFB335"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b/>
          <w:bCs/>
          <w:color w:val="000000"/>
          <w:kern w:val="0"/>
          <w:lang w:val="en-GB" w:eastAsia="it-IT"/>
          <w14:ligatures w14:val="none"/>
        </w:rPr>
        <w:t>Data Capturing and Sources</w:t>
      </w:r>
      <w:r w:rsidRPr="00CE44BD">
        <w:rPr>
          <w:rFonts w:ascii="Arial" w:eastAsia="Times New Roman" w:hAnsi="Arial" w:cs="Arial"/>
          <w:color w:val="000000"/>
          <w:kern w:val="0"/>
          <w:lang w:val="en-GB" w:eastAsia="it-IT"/>
          <w14:ligatures w14:val="none"/>
        </w:rPr>
        <w:t>.</w:t>
      </w:r>
    </w:p>
    <w:p w14:paraId="0B1AB314" w14:textId="6D1A0710" w:rsidR="00CE44BD" w:rsidRPr="00CE44BD" w:rsidRDefault="00CE44BD" w:rsidP="00CE44BD">
      <w:p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t xml:space="preserve">The implementation of the CDC Group healthcare database will be used to manage 2.2 million direct patient interactions per year in 54 medical </w:t>
      </w:r>
      <w:proofErr w:type="spellStart"/>
      <w:r w:rsidRPr="00CE44BD">
        <w:rPr>
          <w:rFonts w:ascii="Arial" w:eastAsia="Times New Roman" w:hAnsi="Arial" w:cs="Arial"/>
          <w:color w:val="000000"/>
          <w:kern w:val="0"/>
          <w:lang w:val="en-GB" w:eastAsia="it-IT"/>
          <w14:ligatures w14:val="none"/>
        </w:rPr>
        <w:t>centers</w:t>
      </w:r>
      <w:proofErr w:type="spellEnd"/>
      <w:r w:rsidRPr="00CE44BD">
        <w:rPr>
          <w:rFonts w:ascii="Arial" w:eastAsia="Times New Roman" w:hAnsi="Arial" w:cs="Arial"/>
          <w:color w:val="000000"/>
          <w:kern w:val="0"/>
          <w:lang w:val="en-GB" w:eastAsia="it-IT"/>
          <w14:ligatures w14:val="none"/>
        </w:rPr>
        <w:t xml:space="preserve"> and 60 blood collection points per year. The data management pipeline will use various data sources. The data sources are used to characterize medical systems of considerable size</w:t>
      </w:r>
      <w:r w:rsidR="004C77D6">
        <w:rPr>
          <w:rFonts w:ascii="Arial" w:eastAsia="Times New Roman" w:hAnsi="Arial" w:cs="Arial"/>
          <w:color w:val="000000"/>
          <w:kern w:val="0"/>
          <w:lang w:val="en-GB" w:eastAsia="it-IT"/>
          <w14:ligatures w14:val="none"/>
        </w:rPr>
        <w:t xml:space="preserve"> </w:t>
      </w:r>
      <w:r w:rsidRPr="00CE44BD">
        <w:rPr>
          <w:rFonts w:ascii="Arial" w:eastAsia="Times New Roman" w:hAnsi="Arial" w:cs="Arial"/>
          <w:color w:val="000000"/>
          <w:kern w:val="0"/>
          <w:lang w:val="en-GB" w:eastAsia="it-IT"/>
          <w14:ligatures w14:val="none"/>
        </w:rPr>
        <w:t>(Sujansky, 2001).</w:t>
      </w:r>
    </w:p>
    <w:p w14:paraId="1A54A9EF"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p>
    <w:p w14:paraId="3D07FAFC"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b/>
          <w:bCs/>
          <w:color w:val="000000"/>
          <w:kern w:val="0"/>
          <w:lang w:val="en-GB" w:eastAsia="it-IT"/>
          <w14:ligatures w14:val="none"/>
        </w:rPr>
        <w:t>Primary Data Sources</w:t>
      </w:r>
      <w:r w:rsidRPr="00CE44BD">
        <w:rPr>
          <w:rFonts w:ascii="Arial" w:eastAsia="Times New Roman" w:hAnsi="Arial" w:cs="Arial"/>
          <w:color w:val="000000"/>
          <w:kern w:val="0"/>
          <w:lang w:val="en-GB" w:eastAsia="it-IT"/>
          <w14:ligatures w14:val="none"/>
        </w:rPr>
        <w:t>. </w:t>
      </w:r>
    </w:p>
    <w:p w14:paraId="7634621F" w14:textId="437117A8" w:rsidR="00CE44BD" w:rsidRPr="00CE44BD" w:rsidRDefault="00CE44BD" w:rsidP="00CE44BD">
      <w:p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t xml:space="preserve">Demographic patient information will be drawn from the registration systems of each of the health care </w:t>
      </w:r>
      <w:proofErr w:type="spellStart"/>
      <w:r w:rsidRPr="00CE44BD">
        <w:rPr>
          <w:rFonts w:ascii="Arial" w:eastAsia="Times New Roman" w:hAnsi="Arial" w:cs="Arial"/>
          <w:color w:val="000000"/>
          <w:kern w:val="0"/>
          <w:lang w:val="en-GB" w:eastAsia="it-IT"/>
          <w14:ligatures w14:val="none"/>
        </w:rPr>
        <w:t>centers</w:t>
      </w:r>
      <w:proofErr w:type="spellEnd"/>
      <w:r w:rsidRPr="00CE44BD">
        <w:rPr>
          <w:rFonts w:ascii="Arial" w:eastAsia="Times New Roman" w:hAnsi="Arial" w:cs="Arial"/>
          <w:color w:val="000000"/>
          <w:kern w:val="0"/>
          <w:lang w:val="en-GB" w:eastAsia="it-IT"/>
          <w14:ligatures w14:val="none"/>
        </w:rPr>
        <w:t xml:space="preserve"> and blood collection points, from electronic intake forms at receptionist desks. Laboratory data is classified as structured data</w:t>
      </w:r>
      <w:r w:rsidR="004C77D6">
        <w:rPr>
          <w:rFonts w:ascii="Arial" w:eastAsia="Times New Roman" w:hAnsi="Arial" w:cs="Arial"/>
          <w:color w:val="000000"/>
          <w:kern w:val="0"/>
          <w:lang w:val="en-GB" w:eastAsia="it-IT"/>
          <w14:ligatures w14:val="none"/>
        </w:rPr>
        <w:t xml:space="preserve"> </w:t>
      </w:r>
      <w:r w:rsidRPr="00CE44BD">
        <w:rPr>
          <w:rFonts w:ascii="Arial" w:eastAsia="Times New Roman" w:hAnsi="Arial" w:cs="Arial"/>
          <w:color w:val="000000"/>
          <w:kern w:val="0"/>
          <w:lang w:val="en-GB" w:eastAsia="it-IT"/>
          <w14:ligatures w14:val="none"/>
        </w:rPr>
        <w:t>(test codes, number values, reference ranges</w:t>
      </w:r>
      <w:r w:rsidR="004C77D6">
        <w:rPr>
          <w:rFonts w:ascii="Arial" w:eastAsia="Times New Roman" w:hAnsi="Arial" w:cs="Arial"/>
          <w:color w:val="000000"/>
          <w:kern w:val="0"/>
          <w:lang w:val="en-GB" w:eastAsia="it-IT"/>
          <w14:ligatures w14:val="none"/>
        </w:rPr>
        <w:t>,</w:t>
      </w:r>
      <w:r w:rsidRPr="00CE44BD">
        <w:rPr>
          <w:rFonts w:ascii="Arial" w:eastAsia="Times New Roman" w:hAnsi="Arial" w:cs="Arial"/>
          <w:color w:val="000000"/>
          <w:kern w:val="0"/>
          <w:lang w:val="en-GB" w:eastAsia="it-IT"/>
          <w14:ligatures w14:val="none"/>
        </w:rPr>
        <w:t xml:space="preserve"> and technician annotations). The data is achieved through processing 3.7 million tests per year generated via Laboratory Information Systems (LIS).</w:t>
      </w:r>
    </w:p>
    <w:p w14:paraId="52A53187"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p>
    <w:p w14:paraId="2669E209"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b/>
          <w:bCs/>
          <w:color w:val="000000"/>
          <w:kern w:val="0"/>
          <w:lang w:val="en-GB" w:eastAsia="it-IT"/>
          <w14:ligatures w14:val="none"/>
        </w:rPr>
        <w:t>Secondary and External Sources</w:t>
      </w:r>
      <w:r w:rsidRPr="00CE44BD">
        <w:rPr>
          <w:rFonts w:ascii="Arial" w:eastAsia="Times New Roman" w:hAnsi="Arial" w:cs="Arial"/>
          <w:color w:val="000000"/>
          <w:kern w:val="0"/>
          <w:lang w:val="en-GB" w:eastAsia="it-IT"/>
          <w14:ligatures w14:val="none"/>
        </w:rPr>
        <w:t>.</w:t>
      </w:r>
    </w:p>
    <w:p w14:paraId="47112C84" w14:textId="1E2FBB3D" w:rsidR="00CE44BD" w:rsidRPr="00CE44BD" w:rsidRDefault="00CE44BD" w:rsidP="00CE44BD">
      <w:p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t>The system is connected to insurance provider databases</w:t>
      </w:r>
      <w:r w:rsidR="004C77D6">
        <w:rPr>
          <w:rFonts w:ascii="Arial" w:eastAsia="Times New Roman" w:hAnsi="Arial" w:cs="Arial"/>
          <w:color w:val="000000"/>
          <w:kern w:val="0"/>
          <w:lang w:val="en-GB" w:eastAsia="it-IT"/>
          <w14:ligatures w14:val="none"/>
        </w:rPr>
        <w:t>,</w:t>
      </w:r>
      <w:r w:rsidRPr="00CE44BD">
        <w:rPr>
          <w:rFonts w:ascii="Arial" w:eastAsia="Times New Roman" w:hAnsi="Arial" w:cs="Arial"/>
          <w:color w:val="000000"/>
          <w:kern w:val="0"/>
          <w:lang w:val="en-GB" w:eastAsia="it-IT"/>
          <w14:ligatures w14:val="none"/>
        </w:rPr>
        <w:t xml:space="preserve"> which contain information on approximately 8,000 private companies. This allows us to check whether </w:t>
      </w:r>
      <w:r w:rsidR="004C77D6">
        <w:rPr>
          <w:rFonts w:ascii="Arial" w:eastAsia="Times New Roman" w:hAnsi="Arial" w:cs="Arial"/>
          <w:color w:val="000000"/>
          <w:kern w:val="0"/>
          <w:lang w:val="en-GB" w:eastAsia="it-IT"/>
          <w14:ligatures w14:val="none"/>
        </w:rPr>
        <w:t xml:space="preserve">the </w:t>
      </w:r>
      <w:r w:rsidRPr="00CE44BD">
        <w:rPr>
          <w:rFonts w:ascii="Arial" w:eastAsia="Times New Roman" w:hAnsi="Arial" w:cs="Arial"/>
          <w:color w:val="000000"/>
          <w:kern w:val="0"/>
          <w:lang w:val="en-GB" w:eastAsia="it-IT"/>
          <w14:ligatures w14:val="none"/>
        </w:rPr>
        <w:t>data is complete and for data related to claims processing. External laboratory reference databases confirm test methodologies and quality control standards</w:t>
      </w:r>
      <w:r w:rsidR="004C77D6">
        <w:rPr>
          <w:rFonts w:ascii="Arial" w:eastAsia="Times New Roman" w:hAnsi="Arial" w:cs="Arial"/>
          <w:color w:val="000000"/>
          <w:kern w:val="0"/>
          <w:lang w:val="en-GB" w:eastAsia="it-IT"/>
          <w14:ligatures w14:val="none"/>
        </w:rPr>
        <w:t xml:space="preserve"> </w:t>
      </w:r>
      <w:r w:rsidRPr="00CE44BD">
        <w:rPr>
          <w:rFonts w:ascii="Arial" w:eastAsia="Times New Roman" w:hAnsi="Arial" w:cs="Arial"/>
          <w:color w:val="000000"/>
          <w:kern w:val="0"/>
          <w:lang w:val="en-GB" w:eastAsia="it-IT"/>
          <w14:ligatures w14:val="none"/>
        </w:rPr>
        <w:t>(Naugler &amp; Church, 2019).</w:t>
      </w:r>
    </w:p>
    <w:p w14:paraId="78E59519"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p>
    <w:p w14:paraId="1A95D56C"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b/>
          <w:bCs/>
          <w:color w:val="000000"/>
          <w:kern w:val="0"/>
          <w:lang w:val="en-GB" w:eastAsia="it-IT"/>
          <w14:ligatures w14:val="none"/>
        </w:rPr>
        <w:t>Data Cleaning Process</w:t>
      </w:r>
    </w:p>
    <w:p w14:paraId="012954F3" w14:textId="6A05DA1C" w:rsidR="00CE44BD" w:rsidRPr="00CE44BD" w:rsidRDefault="00CE44BD" w:rsidP="00CE44BD">
      <w:p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t xml:space="preserve">Considering CDC Group's scale of operations, automated quality management of data would be necessary to ensure </w:t>
      </w:r>
      <w:r w:rsidR="004C77D6">
        <w:rPr>
          <w:rFonts w:ascii="Arial" w:eastAsia="Times New Roman" w:hAnsi="Arial" w:cs="Arial"/>
          <w:color w:val="000000"/>
          <w:kern w:val="0"/>
          <w:lang w:val="en-GB" w:eastAsia="it-IT"/>
          <w14:ligatures w14:val="none"/>
        </w:rPr>
        <w:t xml:space="preserve">the </w:t>
      </w:r>
      <w:r w:rsidRPr="00CE44BD">
        <w:rPr>
          <w:rFonts w:ascii="Arial" w:eastAsia="Times New Roman" w:hAnsi="Arial" w:cs="Arial"/>
          <w:color w:val="000000"/>
          <w:kern w:val="0"/>
          <w:lang w:val="en-GB" w:eastAsia="it-IT"/>
          <w14:ligatures w14:val="none"/>
        </w:rPr>
        <w:t>data accuracy of millions of transactions yearly (Rahm &amp; Do, 2000).</w:t>
      </w:r>
    </w:p>
    <w:p w14:paraId="29AC910C"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p>
    <w:p w14:paraId="22D540D9" w14:textId="6B22BED2" w:rsidR="004365EC" w:rsidRDefault="00CE44BD" w:rsidP="00CE44BD">
      <w:pPr>
        <w:spacing w:line="480" w:lineRule="auto"/>
        <w:jc w:val="both"/>
        <w:rPr>
          <w:rFonts w:ascii="Arial" w:eastAsia="Times New Roman" w:hAnsi="Arial" w:cs="Arial"/>
          <w:color w:val="000000"/>
          <w:kern w:val="0"/>
          <w:lang w:val="en-GB" w:eastAsia="it-IT"/>
          <w14:ligatures w14:val="none"/>
        </w:rPr>
      </w:pPr>
      <w:r w:rsidRPr="00CE44BD">
        <w:rPr>
          <w:rFonts w:ascii="Arial" w:eastAsia="Times New Roman" w:hAnsi="Arial" w:cs="Arial"/>
          <w:color w:val="000000"/>
          <w:kern w:val="0"/>
          <w:lang w:val="en-GB" w:eastAsia="it-IT"/>
          <w14:ligatures w14:val="none"/>
        </w:rPr>
        <w:t>Stage 1: Real-time Validation</w:t>
      </w:r>
    </w:p>
    <w:p w14:paraId="5C4537A0" w14:textId="48B6AB45" w:rsidR="00CE44BD" w:rsidRPr="00CE44BD" w:rsidRDefault="00CE44BD" w:rsidP="00CE44BD">
      <w:pPr>
        <w:spacing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t xml:space="preserve">We used Luhn algorithms; patient identifiers are check-digitized, which avoids 15–20% of transcription errors that arise manually (Kahn et al., 2012). For lab results, we run range checking against our relative range data points; greater than 3 standard </w:t>
      </w:r>
      <w:r w:rsidRPr="00CE44BD">
        <w:rPr>
          <w:rFonts w:ascii="Arial" w:eastAsia="Times New Roman" w:hAnsi="Arial" w:cs="Arial"/>
          <w:color w:val="000000"/>
          <w:kern w:val="0"/>
          <w:lang w:val="en-GB" w:eastAsia="it-IT"/>
          <w14:ligatures w14:val="none"/>
        </w:rPr>
        <w:lastRenderedPageBreak/>
        <w:t>deviations will activate automatic flags. Time markers confirm consistency, and the examination date precedes the result reporting date.</w:t>
      </w:r>
    </w:p>
    <w:p w14:paraId="6673D84A"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t>Stage 2: Standardization and Normalisation</w:t>
      </w:r>
    </w:p>
    <w:p w14:paraId="053D8B58"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t>We created scripts that standardize data and terminology across the 54-center network. Medical diagnoses are mapped to standardized ICD-10 codes and laboratory examinations coincide with LOINC (Logical Observation Identifiers Names and Codes) nomenclature.</w:t>
      </w:r>
    </w:p>
    <w:p w14:paraId="25175722"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p>
    <w:p w14:paraId="0B76749E"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t>Stage 3: Duplicate Detection and Entity Resolution</w:t>
      </w:r>
    </w:p>
    <w:p w14:paraId="5A648CE4" w14:textId="7F61C308" w:rsidR="00CE44BD" w:rsidRDefault="00CE44BD" w:rsidP="00CE44BD">
      <w:pPr>
        <w:spacing w:after="0" w:line="480" w:lineRule="auto"/>
        <w:jc w:val="both"/>
        <w:rPr>
          <w:rFonts w:ascii="Arial" w:eastAsia="Times New Roman" w:hAnsi="Arial" w:cs="Arial"/>
          <w:color w:val="000000"/>
          <w:kern w:val="0"/>
          <w:lang w:val="en-GB" w:eastAsia="it-IT"/>
          <w14:ligatures w14:val="none"/>
        </w:rPr>
      </w:pPr>
      <w:r w:rsidRPr="00CE44BD">
        <w:rPr>
          <w:rFonts w:ascii="Arial" w:eastAsia="Times New Roman" w:hAnsi="Arial" w:cs="Arial"/>
          <w:color w:val="000000"/>
          <w:kern w:val="0"/>
          <w:lang w:val="en-GB" w:eastAsia="it-IT"/>
          <w14:ligatures w14:val="none"/>
        </w:rPr>
        <w:t>We utilize a probabilistic matching algorithm. The algorithm compares fiscal codes (</w:t>
      </w:r>
      <w:proofErr w:type="spellStart"/>
      <w:r w:rsidRPr="00CE44BD">
        <w:rPr>
          <w:rFonts w:ascii="Arial" w:eastAsia="Times New Roman" w:hAnsi="Arial" w:cs="Arial"/>
          <w:color w:val="000000"/>
          <w:kern w:val="0"/>
          <w:lang w:val="en-GB" w:eastAsia="it-IT"/>
          <w14:ligatures w14:val="none"/>
        </w:rPr>
        <w:t>codice</w:t>
      </w:r>
      <w:proofErr w:type="spellEnd"/>
      <w:r w:rsidRPr="00CE44BD">
        <w:rPr>
          <w:rFonts w:ascii="Arial" w:eastAsia="Times New Roman" w:hAnsi="Arial" w:cs="Arial"/>
          <w:color w:val="000000"/>
          <w:kern w:val="0"/>
          <w:lang w:val="en-GB" w:eastAsia="it-IT"/>
          <w14:ligatures w14:val="none"/>
        </w:rPr>
        <w:t xml:space="preserve"> </w:t>
      </w:r>
      <w:proofErr w:type="spellStart"/>
      <w:r w:rsidRPr="00CE44BD">
        <w:rPr>
          <w:rFonts w:ascii="Arial" w:eastAsia="Times New Roman" w:hAnsi="Arial" w:cs="Arial"/>
          <w:color w:val="000000"/>
          <w:kern w:val="0"/>
          <w:lang w:val="en-GB" w:eastAsia="it-IT"/>
          <w14:ligatures w14:val="none"/>
        </w:rPr>
        <w:t>fiscale</w:t>
      </w:r>
      <w:proofErr w:type="spellEnd"/>
      <w:r w:rsidRPr="00CE44BD">
        <w:rPr>
          <w:rFonts w:ascii="Arial" w:eastAsia="Times New Roman" w:hAnsi="Arial" w:cs="Arial"/>
          <w:color w:val="000000"/>
          <w:kern w:val="0"/>
          <w:lang w:val="en-GB" w:eastAsia="it-IT"/>
          <w14:ligatures w14:val="none"/>
        </w:rPr>
        <w:t xml:space="preserve">), names with distance metrics from Jaro-Winkler's data (Jaro-Winkler distance metric), and date of birth. 125,000 duplicate records were identified by our system (5.7% of total patient base), </w:t>
      </w:r>
      <w:r>
        <w:rPr>
          <w:rFonts w:ascii="Arial" w:eastAsia="Times New Roman" w:hAnsi="Arial" w:cs="Arial"/>
          <w:color w:val="000000"/>
          <w:kern w:val="0"/>
          <w:lang w:val="en-GB" w:eastAsia="it-IT"/>
          <w14:ligatures w14:val="none"/>
        </w:rPr>
        <w:t>which</w:t>
      </w:r>
      <w:r w:rsidRPr="00CE44BD">
        <w:rPr>
          <w:rFonts w:ascii="Arial" w:eastAsia="Times New Roman" w:hAnsi="Arial" w:cs="Arial"/>
          <w:color w:val="000000"/>
          <w:kern w:val="0"/>
          <w:lang w:val="en-GB" w:eastAsia="it-IT"/>
          <w14:ligatures w14:val="none"/>
        </w:rPr>
        <w:t xml:space="preserve"> demands manual finding.</w:t>
      </w:r>
    </w:p>
    <w:p w14:paraId="502E6102" w14:textId="1E4C6ECF" w:rsidR="004C77D6" w:rsidRPr="004C77D6" w:rsidRDefault="00CE44BD" w:rsidP="00CE44BD">
      <w:pPr>
        <w:spacing w:after="0" w:line="480" w:lineRule="auto"/>
        <w:jc w:val="both"/>
        <w:rPr>
          <w:rFonts w:ascii="Arial" w:eastAsia="Times New Roman" w:hAnsi="Arial" w:cs="Arial"/>
          <w:kern w:val="0"/>
          <w:sz w:val="16"/>
          <w:szCs w:val="16"/>
          <w:lang w:val="en-GB" w:eastAsia="it-IT"/>
          <w14:ligatures w14:val="none"/>
        </w:rPr>
      </w:pPr>
      <w:r w:rsidRPr="004C77D6">
        <w:rPr>
          <w:rFonts w:ascii="Arial" w:eastAsia="Times New Roman" w:hAnsi="Arial" w:cs="Arial"/>
          <w:noProof/>
          <w:color w:val="000000"/>
          <w:kern w:val="0"/>
          <w:sz w:val="16"/>
          <w:szCs w:val="16"/>
          <w:bdr w:val="none" w:sz="0" w:space="0" w:color="auto" w:frame="1"/>
          <w:lang w:val="en-GB" w:eastAsia="it-IT"/>
          <w14:ligatures w14:val="none"/>
        </w:rPr>
        <w:drawing>
          <wp:inline distT="0" distB="0" distL="0" distR="0" wp14:anchorId="1C825348" wp14:editId="1A0808A5">
            <wp:extent cx="5943600" cy="3540125"/>
            <wp:effectExtent l="0" t="0" r="0" b="3175"/>
            <wp:docPr id="1719664566" name="Immagine 3" descr="Immagine che contiene testo, schermat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64566" name="Immagine 3" descr="Immagine che contiene testo, schermata, diagramma, Diagramma&#10;&#10;Il contenuto generato dall'IA potrebbe non essere corret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540125"/>
                    </a:xfrm>
                    <a:prstGeom prst="rect">
                      <a:avLst/>
                    </a:prstGeom>
                    <a:noFill/>
                    <a:ln>
                      <a:noFill/>
                    </a:ln>
                  </pic:spPr>
                </pic:pic>
              </a:graphicData>
            </a:graphic>
          </wp:inline>
        </w:drawing>
      </w:r>
    </w:p>
    <w:p w14:paraId="061290D0" w14:textId="52965620" w:rsidR="004C77D6" w:rsidRPr="004C77D6" w:rsidRDefault="004C77D6" w:rsidP="004C77D6">
      <w:pPr>
        <w:pStyle w:val="ListParagraph"/>
        <w:numPr>
          <w:ilvl w:val="0"/>
          <w:numId w:val="3"/>
        </w:numPr>
        <w:spacing w:after="0" w:line="480" w:lineRule="auto"/>
        <w:jc w:val="both"/>
        <w:rPr>
          <w:rFonts w:ascii="Arial" w:eastAsia="Times New Roman" w:hAnsi="Arial" w:cs="Arial"/>
          <w:kern w:val="0"/>
          <w:sz w:val="16"/>
          <w:szCs w:val="16"/>
          <w:lang w:val="en-GB" w:eastAsia="it-IT"/>
          <w14:ligatures w14:val="none"/>
        </w:rPr>
      </w:pPr>
      <w:r w:rsidRPr="004C77D6">
        <w:rPr>
          <w:rFonts w:ascii="Arial" w:eastAsia="Times New Roman" w:hAnsi="Arial" w:cs="Arial"/>
          <w:kern w:val="0"/>
          <w:sz w:val="16"/>
          <w:szCs w:val="16"/>
          <w:lang w:val="en-GB" w:eastAsia="it-IT"/>
          <w14:ligatures w14:val="none"/>
        </w:rPr>
        <w:t>Bar chart of the key volume metrics</w:t>
      </w:r>
    </w:p>
    <w:p w14:paraId="40C1D252" w14:textId="77777777" w:rsidR="004C77D6" w:rsidRPr="00CE44BD" w:rsidRDefault="004C77D6" w:rsidP="00CE44BD">
      <w:pPr>
        <w:spacing w:after="0" w:line="480" w:lineRule="auto"/>
        <w:jc w:val="both"/>
        <w:rPr>
          <w:rFonts w:ascii="Arial" w:eastAsia="Times New Roman" w:hAnsi="Arial" w:cs="Arial"/>
          <w:kern w:val="0"/>
          <w:lang w:val="en-GB" w:eastAsia="it-IT"/>
          <w14:ligatures w14:val="none"/>
        </w:rPr>
      </w:pPr>
    </w:p>
    <w:p w14:paraId="1F68830D" w14:textId="6EC1B935" w:rsidR="00CE44BD" w:rsidRDefault="00CE44BD" w:rsidP="00CE44BD">
      <w:pPr>
        <w:spacing w:line="480" w:lineRule="auto"/>
        <w:jc w:val="both"/>
        <w:rPr>
          <w:rFonts w:ascii="Arial" w:eastAsia="Times New Roman" w:hAnsi="Arial" w:cs="Arial"/>
          <w:kern w:val="0"/>
          <w:lang w:val="en-GB" w:eastAsia="it-IT"/>
          <w14:ligatures w14:val="none"/>
        </w:rPr>
      </w:pPr>
      <w:r w:rsidRPr="00CE44BD">
        <w:rPr>
          <w:rFonts w:ascii="Arial" w:eastAsia="Times New Roman" w:hAnsi="Arial" w:cs="Arial"/>
          <w:noProof/>
          <w:color w:val="000000"/>
          <w:kern w:val="0"/>
          <w:bdr w:val="none" w:sz="0" w:space="0" w:color="auto" w:frame="1"/>
          <w:lang w:val="en-GB" w:eastAsia="it-IT"/>
          <w14:ligatures w14:val="none"/>
        </w:rPr>
        <w:lastRenderedPageBreak/>
        <w:drawing>
          <wp:inline distT="0" distB="0" distL="0" distR="0" wp14:anchorId="4EC1B74A" wp14:editId="6C46CC3B">
            <wp:extent cx="5943600" cy="3844925"/>
            <wp:effectExtent l="0" t="0" r="0" b="3175"/>
            <wp:docPr id="426272131" name="Immagine 2" descr="Immagine che contiene testo, biglietto da visita,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72131" name="Immagine 2" descr="Immagine che contiene testo, biglietto da visita, schermata, Carattere&#10;&#10;Il contenuto generato dall'IA potrebbe non essere corret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844925"/>
                    </a:xfrm>
                    <a:prstGeom prst="rect">
                      <a:avLst/>
                    </a:prstGeom>
                    <a:noFill/>
                    <a:ln>
                      <a:noFill/>
                    </a:ln>
                  </pic:spPr>
                </pic:pic>
              </a:graphicData>
            </a:graphic>
          </wp:inline>
        </w:drawing>
      </w:r>
    </w:p>
    <w:p w14:paraId="5035DA8B" w14:textId="2D347CAF" w:rsidR="004C77D6" w:rsidRPr="004C77D6" w:rsidRDefault="004C77D6" w:rsidP="004C77D6">
      <w:pPr>
        <w:pStyle w:val="ListParagraph"/>
        <w:numPr>
          <w:ilvl w:val="0"/>
          <w:numId w:val="3"/>
        </w:numPr>
        <w:spacing w:line="480" w:lineRule="auto"/>
        <w:jc w:val="both"/>
        <w:rPr>
          <w:rFonts w:ascii="Arial" w:eastAsia="Times New Roman" w:hAnsi="Arial" w:cs="Arial"/>
          <w:kern w:val="0"/>
          <w:sz w:val="16"/>
          <w:szCs w:val="16"/>
          <w:lang w:val="en-GB" w:eastAsia="it-IT"/>
          <w14:ligatures w14:val="none"/>
        </w:rPr>
      </w:pPr>
      <w:r w:rsidRPr="004C77D6">
        <w:rPr>
          <w:rFonts w:ascii="Arial" w:eastAsia="Times New Roman" w:hAnsi="Arial" w:cs="Arial"/>
          <w:kern w:val="0"/>
          <w:sz w:val="16"/>
          <w:szCs w:val="16"/>
          <w:lang w:val="en-GB" w:eastAsia="it-IT"/>
          <w14:ligatures w14:val="none"/>
        </w:rPr>
        <w:t>Data pipeline architecture diagram</w:t>
      </w:r>
    </w:p>
    <w:p w14:paraId="08C35AA6" w14:textId="77777777" w:rsidR="004C77D6" w:rsidRDefault="004C77D6" w:rsidP="00CE44BD">
      <w:pPr>
        <w:spacing w:line="480" w:lineRule="auto"/>
        <w:jc w:val="both"/>
        <w:rPr>
          <w:rFonts w:ascii="Arial" w:eastAsia="Times New Roman" w:hAnsi="Arial" w:cs="Arial"/>
          <w:kern w:val="0"/>
          <w:lang w:val="en-GB" w:eastAsia="it-IT"/>
          <w14:ligatures w14:val="none"/>
        </w:rPr>
      </w:pPr>
    </w:p>
    <w:p w14:paraId="077859AD" w14:textId="2EB59FE2" w:rsidR="00CE44BD" w:rsidRDefault="00CE44BD" w:rsidP="00CE44BD">
      <w:pPr>
        <w:spacing w:line="480" w:lineRule="auto"/>
        <w:jc w:val="both"/>
        <w:rPr>
          <w:rFonts w:ascii="Arial" w:eastAsia="Times New Roman" w:hAnsi="Arial" w:cs="Arial"/>
          <w:kern w:val="0"/>
          <w:lang w:val="en-GB" w:eastAsia="it-IT"/>
          <w14:ligatures w14:val="none"/>
        </w:rPr>
      </w:pPr>
      <w:r w:rsidRPr="00CE44BD">
        <w:rPr>
          <w:rFonts w:ascii="Arial" w:eastAsia="Times New Roman" w:hAnsi="Arial" w:cs="Arial"/>
          <w:noProof/>
          <w:color w:val="000000"/>
          <w:kern w:val="0"/>
          <w:bdr w:val="none" w:sz="0" w:space="0" w:color="auto" w:frame="1"/>
          <w:lang w:val="en-GB" w:eastAsia="it-IT"/>
          <w14:ligatures w14:val="none"/>
        </w:rPr>
        <w:drawing>
          <wp:inline distT="0" distB="0" distL="0" distR="0" wp14:anchorId="78A16C51" wp14:editId="2725B2BD">
            <wp:extent cx="5943600" cy="3423285"/>
            <wp:effectExtent l="0" t="0" r="0" b="5715"/>
            <wp:docPr id="145660081" name="Immagine 1" descr="Immagine che contiene testo, biglietto da visita, schermat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0081" name="Immagine 1" descr="Immagine che contiene testo, biglietto da visita, schermata, design&#10;&#10;Il contenuto generato dall'IA potrebbe non essere corret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423285"/>
                    </a:xfrm>
                    <a:prstGeom prst="rect">
                      <a:avLst/>
                    </a:prstGeom>
                    <a:noFill/>
                    <a:ln>
                      <a:noFill/>
                    </a:ln>
                  </pic:spPr>
                </pic:pic>
              </a:graphicData>
            </a:graphic>
          </wp:inline>
        </w:drawing>
      </w:r>
    </w:p>
    <w:p w14:paraId="6C32238A" w14:textId="451ADE5E" w:rsidR="004C77D6" w:rsidRPr="004C77D6" w:rsidRDefault="004C77D6" w:rsidP="004C77D6">
      <w:pPr>
        <w:pStyle w:val="ListParagraph"/>
        <w:numPr>
          <w:ilvl w:val="0"/>
          <w:numId w:val="3"/>
        </w:numPr>
        <w:spacing w:line="480" w:lineRule="auto"/>
        <w:jc w:val="both"/>
        <w:rPr>
          <w:rFonts w:ascii="Arial" w:eastAsia="Times New Roman" w:hAnsi="Arial" w:cs="Arial"/>
          <w:kern w:val="0"/>
          <w:sz w:val="16"/>
          <w:szCs w:val="16"/>
          <w:lang w:val="en-GB" w:eastAsia="it-IT"/>
          <w14:ligatures w14:val="none"/>
        </w:rPr>
      </w:pPr>
      <w:r w:rsidRPr="004C77D6">
        <w:rPr>
          <w:rFonts w:ascii="Arial" w:eastAsia="Times New Roman" w:hAnsi="Arial" w:cs="Arial"/>
          <w:kern w:val="0"/>
          <w:sz w:val="16"/>
          <w:szCs w:val="16"/>
          <w:lang w:val="en-GB" w:eastAsia="it-IT"/>
          <w14:ligatures w14:val="none"/>
        </w:rPr>
        <w:t>Data cleaning diagram</w:t>
      </w:r>
    </w:p>
    <w:p w14:paraId="6966FAEF" w14:textId="77777777" w:rsidR="004C77D6" w:rsidRDefault="004C77D6" w:rsidP="00CE44BD">
      <w:pPr>
        <w:spacing w:after="0" w:line="480" w:lineRule="auto"/>
        <w:jc w:val="both"/>
        <w:rPr>
          <w:rFonts w:ascii="Arial" w:eastAsia="Times New Roman" w:hAnsi="Arial" w:cs="Arial"/>
          <w:b/>
          <w:bCs/>
          <w:color w:val="000000" w:themeColor="text1"/>
          <w:kern w:val="0"/>
          <w:lang w:val="en-GB" w:eastAsia="it-IT"/>
          <w14:ligatures w14:val="none"/>
        </w:rPr>
      </w:pPr>
    </w:p>
    <w:p w14:paraId="2F14EE0F" w14:textId="30C75079" w:rsidR="00CE44BD" w:rsidRPr="00CE44BD" w:rsidRDefault="00CE44BD" w:rsidP="00CE44BD">
      <w:pPr>
        <w:spacing w:after="0" w:line="480" w:lineRule="auto"/>
        <w:jc w:val="both"/>
        <w:rPr>
          <w:rFonts w:ascii="Arial" w:eastAsia="Times New Roman" w:hAnsi="Arial" w:cs="Arial"/>
          <w:b/>
          <w:bCs/>
          <w:color w:val="000000" w:themeColor="text1"/>
          <w:kern w:val="0"/>
          <w:lang w:val="en-GB" w:eastAsia="it-IT"/>
          <w14:ligatures w14:val="none"/>
        </w:rPr>
      </w:pPr>
      <w:r w:rsidRPr="00CE44BD">
        <w:rPr>
          <w:rFonts w:ascii="Arial" w:eastAsia="Times New Roman" w:hAnsi="Arial" w:cs="Arial"/>
          <w:b/>
          <w:bCs/>
          <w:color w:val="000000" w:themeColor="text1"/>
          <w:kern w:val="0"/>
          <w:lang w:val="en-GB" w:eastAsia="it-IT"/>
          <w14:ligatures w14:val="none"/>
        </w:rPr>
        <w:t>Conclusion</w:t>
      </w:r>
    </w:p>
    <w:p w14:paraId="50FD6F5E" w14:textId="2EFF5C7A" w:rsidR="00CE44BD" w:rsidRPr="00CE44BD" w:rsidRDefault="00CE44BD" w:rsidP="00CE44BD">
      <w:pPr>
        <w:spacing w:before="240" w:after="240"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t xml:space="preserve">The design of the CDC Group healthcare database provides a robust and scalable solution for managing patient information, medical records, and administrative data efficiently. The implementation of a normalized schema enforces data integrity through constraints, and </w:t>
      </w:r>
      <w:r>
        <w:rPr>
          <w:rFonts w:ascii="Arial" w:eastAsia="Times New Roman" w:hAnsi="Arial" w:cs="Arial"/>
          <w:color w:val="000000"/>
          <w:kern w:val="0"/>
          <w:lang w:val="en-GB" w:eastAsia="it-IT"/>
          <w14:ligatures w14:val="none"/>
        </w:rPr>
        <w:t xml:space="preserve">by </w:t>
      </w:r>
      <w:r w:rsidRPr="00CE44BD">
        <w:rPr>
          <w:rFonts w:ascii="Arial" w:eastAsia="Times New Roman" w:hAnsi="Arial" w:cs="Arial"/>
          <w:color w:val="000000"/>
          <w:kern w:val="0"/>
          <w:lang w:val="en-GB" w:eastAsia="it-IT"/>
          <w14:ligatures w14:val="none"/>
        </w:rPr>
        <w:t>incorporating security measures such as role-based access control and encryption, the system also ensures accuracy, confidentiality, and compliance with healthcare regulations (e.g., HIPAA), building confidence among providers, regulators, and patients. “Google Cloud SQL is designed with configurations that meet HIPAA standards, ensuring that patient data is handled securely and complies with regulatory requirements” (</w:t>
      </w:r>
      <w:proofErr w:type="spellStart"/>
      <w:r w:rsidRPr="00CE44BD">
        <w:rPr>
          <w:rFonts w:ascii="Arial" w:eastAsia="Times New Roman" w:hAnsi="Arial" w:cs="Arial"/>
          <w:color w:val="000000"/>
          <w:kern w:val="0"/>
          <w:lang w:val="en-GB" w:eastAsia="it-IT"/>
          <w14:ligatures w14:val="none"/>
        </w:rPr>
        <w:t>Blaze.tech</w:t>
      </w:r>
      <w:proofErr w:type="spellEnd"/>
      <w:r w:rsidRPr="00CE44BD">
        <w:rPr>
          <w:rFonts w:ascii="Arial" w:eastAsia="Times New Roman" w:hAnsi="Arial" w:cs="Arial"/>
          <w:color w:val="000000"/>
          <w:kern w:val="0"/>
          <w:lang w:val="en-GB" w:eastAsia="it-IT"/>
          <w14:ligatures w14:val="none"/>
        </w:rPr>
        <w:t>, 2025). Overall, this database design lays the foundation for improved data accessibility, streamlined workflows, and better decision-making, ultimately contributing to enhanced patient care and operational efficiency. To further improve the system, future enhancements should include integration with advanced analytics, migration to cloud infrastructure</w:t>
      </w:r>
      <w:r w:rsidR="004C77D6">
        <w:rPr>
          <w:rFonts w:ascii="Arial" w:eastAsia="Times New Roman" w:hAnsi="Arial" w:cs="Arial"/>
          <w:color w:val="000000"/>
          <w:kern w:val="0"/>
          <w:lang w:val="en-GB" w:eastAsia="it-IT"/>
          <w14:ligatures w14:val="none"/>
        </w:rPr>
        <w:t>,</w:t>
      </w:r>
      <w:r w:rsidRPr="00CE44BD">
        <w:rPr>
          <w:rFonts w:ascii="Arial" w:eastAsia="Times New Roman" w:hAnsi="Arial" w:cs="Arial"/>
          <w:color w:val="000000"/>
          <w:kern w:val="0"/>
          <w:lang w:val="en-GB" w:eastAsia="it-IT"/>
          <w14:ligatures w14:val="none"/>
        </w:rPr>
        <w:t xml:space="preserve"> and incorporation of AI-driven insights for predictive care. Additionally, developing mobile and patient portal solutions together with regular security audits will strengthen patient engagement and safeguard sensitive information.</w:t>
      </w:r>
    </w:p>
    <w:p w14:paraId="25A652A6" w14:textId="77777777" w:rsidR="00CE44BD" w:rsidRPr="00CE44BD" w:rsidRDefault="00CE44BD" w:rsidP="00CE44BD">
      <w:pPr>
        <w:spacing w:after="240" w:line="480" w:lineRule="auto"/>
        <w:jc w:val="both"/>
        <w:rPr>
          <w:rFonts w:ascii="Arial" w:eastAsia="Times New Roman" w:hAnsi="Arial" w:cs="Arial"/>
          <w:kern w:val="0"/>
          <w:lang w:val="en-GB" w:eastAsia="it-IT"/>
          <w14:ligatures w14:val="none"/>
        </w:rPr>
      </w:pPr>
      <w:r w:rsidRPr="00CE44BD">
        <w:rPr>
          <w:rFonts w:ascii="Arial" w:eastAsia="Times New Roman" w:hAnsi="Arial" w:cs="Arial"/>
          <w:kern w:val="0"/>
          <w:lang w:val="en-GB" w:eastAsia="it-IT"/>
          <w14:ligatures w14:val="none"/>
        </w:rPr>
        <w:br/>
      </w:r>
      <w:r w:rsidRPr="00CE44BD">
        <w:rPr>
          <w:rFonts w:ascii="Arial" w:eastAsia="Times New Roman" w:hAnsi="Arial" w:cs="Arial"/>
          <w:kern w:val="0"/>
          <w:lang w:val="en-GB" w:eastAsia="it-IT"/>
          <w14:ligatures w14:val="none"/>
        </w:rPr>
        <w:br/>
      </w:r>
    </w:p>
    <w:p w14:paraId="78BD7A8D"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p>
    <w:p w14:paraId="0D9DD423" w14:textId="77777777" w:rsidR="00CE44BD" w:rsidRPr="00CE44BD" w:rsidRDefault="00CE44BD" w:rsidP="00CE44BD">
      <w:pPr>
        <w:spacing w:after="0" w:line="480" w:lineRule="auto"/>
        <w:jc w:val="both"/>
        <w:rPr>
          <w:rFonts w:ascii="Arial" w:eastAsia="Times New Roman" w:hAnsi="Arial" w:cs="Arial"/>
          <w:b/>
          <w:bCs/>
          <w:color w:val="000000" w:themeColor="text1"/>
          <w:kern w:val="0"/>
          <w:lang w:val="en-GB" w:eastAsia="it-IT"/>
          <w14:ligatures w14:val="none"/>
        </w:rPr>
      </w:pPr>
    </w:p>
    <w:p w14:paraId="21F6F951" w14:textId="77777777" w:rsidR="004365EC" w:rsidRDefault="004365EC" w:rsidP="00CE44BD">
      <w:pPr>
        <w:spacing w:after="0" w:line="480" w:lineRule="auto"/>
        <w:jc w:val="both"/>
        <w:rPr>
          <w:rFonts w:ascii="Arial" w:eastAsia="Times New Roman" w:hAnsi="Arial" w:cs="Arial"/>
          <w:b/>
          <w:bCs/>
          <w:color w:val="000000" w:themeColor="text1"/>
          <w:kern w:val="0"/>
          <w:lang w:val="en-GB" w:eastAsia="it-IT"/>
          <w14:ligatures w14:val="none"/>
        </w:rPr>
      </w:pPr>
    </w:p>
    <w:p w14:paraId="5D1A890D" w14:textId="158B743D" w:rsidR="00CE44BD" w:rsidRPr="00CE44BD" w:rsidRDefault="00CE44BD" w:rsidP="00CE44BD">
      <w:pPr>
        <w:spacing w:after="0" w:line="480" w:lineRule="auto"/>
        <w:jc w:val="both"/>
        <w:rPr>
          <w:rFonts w:ascii="Arial" w:eastAsia="Times New Roman" w:hAnsi="Arial" w:cs="Arial"/>
          <w:b/>
          <w:bCs/>
          <w:color w:val="000000" w:themeColor="text1"/>
          <w:kern w:val="0"/>
          <w:lang w:val="en-GB" w:eastAsia="it-IT"/>
          <w14:ligatures w14:val="none"/>
        </w:rPr>
      </w:pPr>
      <w:r w:rsidRPr="00CE44BD">
        <w:rPr>
          <w:rFonts w:ascii="Arial" w:eastAsia="Times New Roman" w:hAnsi="Arial" w:cs="Arial"/>
          <w:b/>
          <w:bCs/>
          <w:color w:val="000000" w:themeColor="text1"/>
          <w:kern w:val="0"/>
          <w:lang w:val="en-GB" w:eastAsia="it-IT"/>
          <w14:ligatures w14:val="none"/>
        </w:rPr>
        <w:lastRenderedPageBreak/>
        <w:t>Reference list:</w:t>
      </w:r>
    </w:p>
    <w:p w14:paraId="58D9A23C" w14:textId="77777777" w:rsidR="00CE44BD" w:rsidRPr="00CE44BD" w:rsidRDefault="00CE44BD" w:rsidP="00CE44BD">
      <w:pPr>
        <w:spacing w:after="0" w:line="480" w:lineRule="auto"/>
        <w:jc w:val="both"/>
        <w:rPr>
          <w:rFonts w:ascii="Arial" w:eastAsia="Times New Roman" w:hAnsi="Arial" w:cs="Arial"/>
          <w:color w:val="0000FF"/>
          <w:kern w:val="0"/>
          <w:lang w:val="en-GB" w:eastAsia="it-IT"/>
          <w14:ligatures w14:val="none"/>
        </w:rPr>
      </w:pPr>
    </w:p>
    <w:p w14:paraId="7EE87B54" w14:textId="7C5D3522" w:rsidR="00CE44BD" w:rsidRPr="00CE44BD" w:rsidRDefault="00CE44BD" w:rsidP="00CE44BD">
      <w:p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t xml:space="preserve">Belcic, I. and Stryker, C. (2024). What is an Entity Relationship Diagram? | IBM. [online] www.ibm.com. Available at: </w:t>
      </w:r>
      <w:hyperlink r:id="rId9" w:history="1">
        <w:r w:rsidRPr="00CE44BD">
          <w:rPr>
            <w:rFonts w:ascii="Arial" w:eastAsia="Times New Roman" w:hAnsi="Arial" w:cs="Arial"/>
            <w:color w:val="000000"/>
            <w:kern w:val="0"/>
            <w:u w:val="single"/>
            <w:lang w:val="en-GB" w:eastAsia="it-IT"/>
            <w14:ligatures w14:val="none"/>
          </w:rPr>
          <w:t>https://www.ibm.com/think/topics/entity-relationship-diagram</w:t>
        </w:r>
      </w:hyperlink>
    </w:p>
    <w:p w14:paraId="1D6D774B"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p>
    <w:p w14:paraId="7C86EB8F" w14:textId="29E2C522" w:rsidR="00CE44BD" w:rsidRPr="00CE44BD" w:rsidRDefault="00CE44BD" w:rsidP="00CE44BD">
      <w:pPr>
        <w:spacing w:line="480" w:lineRule="auto"/>
        <w:jc w:val="both"/>
        <w:rPr>
          <w:rFonts w:ascii="Arial" w:eastAsia="Times New Roman" w:hAnsi="Arial" w:cs="Arial"/>
          <w:color w:val="000000"/>
          <w:kern w:val="0"/>
          <w:lang w:val="en-GB" w:eastAsia="it-IT"/>
          <w14:ligatures w14:val="none"/>
        </w:rPr>
      </w:pPr>
      <w:proofErr w:type="spellStart"/>
      <w:r w:rsidRPr="00CE44BD">
        <w:rPr>
          <w:rFonts w:ascii="Arial" w:eastAsia="Times New Roman" w:hAnsi="Arial" w:cs="Arial"/>
          <w:color w:val="000000"/>
          <w:kern w:val="0"/>
          <w:lang w:val="en-GB" w:eastAsia="it-IT"/>
          <w14:ligatures w14:val="none"/>
        </w:rPr>
        <w:t>Blaze.tech</w:t>
      </w:r>
      <w:proofErr w:type="spellEnd"/>
      <w:r w:rsidRPr="00CE44BD">
        <w:rPr>
          <w:rFonts w:ascii="Arial" w:eastAsia="Times New Roman" w:hAnsi="Arial" w:cs="Arial"/>
          <w:color w:val="000000"/>
          <w:kern w:val="0"/>
          <w:lang w:val="en-GB" w:eastAsia="it-IT"/>
          <w14:ligatures w14:val="none"/>
        </w:rPr>
        <w:t xml:space="preserve">. (2025). Top HIPAA-Compliant Databases for Secure Healthcare Data Management. [online] Available at: </w:t>
      </w:r>
      <w:hyperlink r:id="rId10" w:history="1">
        <w:r w:rsidRPr="00CE44BD">
          <w:rPr>
            <w:rStyle w:val="Hyperlink"/>
            <w:rFonts w:ascii="Arial" w:eastAsia="Times New Roman" w:hAnsi="Arial" w:cs="Arial"/>
            <w:kern w:val="0"/>
            <w:lang w:val="en-GB" w:eastAsia="it-IT"/>
            <w14:ligatures w14:val="none"/>
          </w:rPr>
          <w:t>https://www.blaze.tech/post/hipaa-compliant-database</w:t>
        </w:r>
      </w:hyperlink>
      <w:r w:rsidRPr="00CE44BD">
        <w:rPr>
          <w:rFonts w:ascii="Arial" w:eastAsia="Times New Roman" w:hAnsi="Arial" w:cs="Arial"/>
          <w:color w:val="000000"/>
          <w:kern w:val="0"/>
          <w:lang w:val="en-GB" w:eastAsia="it-IT"/>
          <w14:ligatures w14:val="none"/>
        </w:rPr>
        <w:t>.</w:t>
      </w:r>
    </w:p>
    <w:p w14:paraId="3311C642"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shd w:val="clear" w:color="auto" w:fill="FFFFFF"/>
          <w:lang w:val="en-GB" w:eastAsia="it-IT"/>
          <w14:ligatures w14:val="none"/>
        </w:rPr>
        <w:t xml:space="preserve">De Mello, B.H., Rigo, S.J., da Costa, C.A., da Rosa Righi, R., Donida, B., Bez, M.R. and Schunke, L.C. (2022). Semantic interoperability in health records standards: a systematic literature review. </w:t>
      </w:r>
      <w:r w:rsidRPr="00CE44BD">
        <w:rPr>
          <w:rFonts w:ascii="Arial" w:eastAsia="Times New Roman" w:hAnsi="Arial" w:cs="Arial"/>
          <w:i/>
          <w:iCs/>
          <w:color w:val="000000"/>
          <w:kern w:val="0"/>
          <w:lang w:val="en-GB" w:eastAsia="it-IT"/>
          <w14:ligatures w14:val="none"/>
        </w:rPr>
        <w:t>Health and Technology</w:t>
      </w:r>
      <w:r w:rsidRPr="00CE44BD">
        <w:rPr>
          <w:rFonts w:ascii="Arial" w:eastAsia="Times New Roman" w:hAnsi="Arial" w:cs="Arial"/>
          <w:color w:val="000000"/>
          <w:kern w:val="0"/>
          <w:shd w:val="clear" w:color="auto" w:fill="FFFFFF"/>
          <w:lang w:val="en-GB" w:eastAsia="it-IT"/>
          <w14:ligatures w14:val="none"/>
        </w:rPr>
        <w:t xml:space="preserve">, 12(2), pp.255–272. </w:t>
      </w:r>
      <w:proofErr w:type="spellStart"/>
      <w:r w:rsidRPr="00CE44BD">
        <w:rPr>
          <w:rFonts w:ascii="Arial" w:eastAsia="Times New Roman" w:hAnsi="Arial" w:cs="Arial"/>
          <w:color w:val="000000"/>
          <w:kern w:val="0"/>
          <w:shd w:val="clear" w:color="auto" w:fill="FFFFFF"/>
          <w:lang w:val="en-GB" w:eastAsia="it-IT"/>
          <w14:ligatures w14:val="none"/>
        </w:rPr>
        <w:t>doi:</w:t>
      </w:r>
      <w:hyperlink r:id="rId11" w:history="1">
        <w:r w:rsidRPr="00CE44BD">
          <w:rPr>
            <w:rFonts w:ascii="Arial" w:eastAsia="Times New Roman" w:hAnsi="Arial" w:cs="Arial"/>
            <w:color w:val="000000"/>
            <w:kern w:val="0"/>
            <w:u w:val="single"/>
            <w:shd w:val="clear" w:color="auto" w:fill="FFFFFF"/>
            <w:lang w:val="en-GB" w:eastAsia="it-IT"/>
            <w14:ligatures w14:val="none"/>
          </w:rPr>
          <w:t>https</w:t>
        </w:r>
        <w:proofErr w:type="spellEnd"/>
        <w:r w:rsidRPr="00CE44BD">
          <w:rPr>
            <w:rFonts w:ascii="Arial" w:eastAsia="Times New Roman" w:hAnsi="Arial" w:cs="Arial"/>
            <w:color w:val="000000"/>
            <w:kern w:val="0"/>
            <w:u w:val="single"/>
            <w:shd w:val="clear" w:color="auto" w:fill="FFFFFF"/>
            <w:lang w:val="en-GB" w:eastAsia="it-IT"/>
            <w14:ligatures w14:val="none"/>
          </w:rPr>
          <w:t>://doi.org/10.1007/s12553-022-00639-w</w:t>
        </w:r>
      </w:hyperlink>
      <w:r w:rsidRPr="00CE44BD">
        <w:rPr>
          <w:rFonts w:ascii="Arial" w:eastAsia="Times New Roman" w:hAnsi="Arial" w:cs="Arial"/>
          <w:color w:val="000000"/>
          <w:kern w:val="0"/>
          <w:shd w:val="clear" w:color="auto" w:fill="FFFFFF"/>
          <w:lang w:val="en-GB" w:eastAsia="it-IT"/>
          <w14:ligatures w14:val="none"/>
        </w:rPr>
        <w:t>.</w:t>
      </w:r>
    </w:p>
    <w:p w14:paraId="5E08A830"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p>
    <w:p w14:paraId="0D292BEE" w14:textId="77777777" w:rsidR="00CE44BD" w:rsidRPr="00CE44BD" w:rsidRDefault="00CE44BD" w:rsidP="00CE44BD">
      <w:pPr>
        <w:spacing w:after="0" w:line="480" w:lineRule="auto"/>
        <w:jc w:val="both"/>
        <w:rPr>
          <w:rFonts w:ascii="Arial" w:eastAsia="Times New Roman" w:hAnsi="Arial" w:cs="Arial"/>
          <w:color w:val="000000"/>
          <w:kern w:val="0"/>
          <w:lang w:val="en-GB" w:eastAsia="it-IT"/>
          <w14:ligatures w14:val="none"/>
        </w:rPr>
      </w:pPr>
      <w:r w:rsidRPr="00CE44BD">
        <w:rPr>
          <w:rFonts w:ascii="Arial" w:eastAsia="Times New Roman" w:hAnsi="Arial" w:cs="Arial"/>
          <w:color w:val="000000"/>
          <w:kern w:val="0"/>
          <w:lang w:val="en-GB" w:eastAsia="it-IT"/>
          <w14:ligatures w14:val="none"/>
        </w:rPr>
        <w:t xml:space="preserve">Liu, M., Luo, J., Li, L., Pan, X., Tan, S., Ji, W., Zhang, H., Tang, S., Liu, J., Wu, B., Chen, Z., Wu, X. and Zhou, Y. (2023). Design and development of a disease-specific clinical database system to increase the availability of hospital data in China. Health Information Science and Systems, 11(1). </w:t>
      </w:r>
      <w:proofErr w:type="spellStart"/>
      <w:r w:rsidRPr="00CE44BD">
        <w:rPr>
          <w:rFonts w:ascii="Arial" w:eastAsia="Times New Roman" w:hAnsi="Arial" w:cs="Arial"/>
          <w:color w:val="000000"/>
          <w:kern w:val="0"/>
          <w:lang w:val="en-GB" w:eastAsia="it-IT"/>
          <w14:ligatures w14:val="none"/>
        </w:rPr>
        <w:t>doi:</w:t>
      </w:r>
      <w:hyperlink r:id="rId12" w:history="1">
        <w:r w:rsidRPr="00CE44BD">
          <w:rPr>
            <w:rFonts w:ascii="Arial" w:eastAsia="Times New Roman" w:hAnsi="Arial" w:cs="Arial"/>
            <w:color w:val="000000"/>
            <w:kern w:val="0"/>
            <w:u w:val="single"/>
            <w:lang w:val="en-GB" w:eastAsia="it-IT"/>
            <w14:ligatures w14:val="none"/>
          </w:rPr>
          <w:t>https</w:t>
        </w:r>
        <w:proofErr w:type="spellEnd"/>
        <w:r w:rsidRPr="00CE44BD">
          <w:rPr>
            <w:rFonts w:ascii="Arial" w:eastAsia="Times New Roman" w:hAnsi="Arial" w:cs="Arial"/>
            <w:color w:val="000000"/>
            <w:kern w:val="0"/>
            <w:u w:val="single"/>
            <w:lang w:val="en-GB" w:eastAsia="it-IT"/>
            <w14:ligatures w14:val="none"/>
          </w:rPr>
          <w:t>://doi.org/10.1007/s13755-023-00211-4</w:t>
        </w:r>
      </w:hyperlink>
      <w:r w:rsidRPr="00CE44BD">
        <w:rPr>
          <w:rFonts w:ascii="Arial" w:eastAsia="Times New Roman" w:hAnsi="Arial" w:cs="Arial"/>
          <w:color w:val="000000"/>
          <w:kern w:val="0"/>
          <w:lang w:val="en-GB" w:eastAsia="it-IT"/>
          <w14:ligatures w14:val="none"/>
        </w:rPr>
        <w:t>.</w:t>
      </w:r>
    </w:p>
    <w:p w14:paraId="39824E8A" w14:textId="77777777" w:rsidR="00CE44BD" w:rsidRPr="00CE44BD" w:rsidRDefault="00CE44BD" w:rsidP="00CE44BD">
      <w:pPr>
        <w:spacing w:after="0" w:line="480" w:lineRule="auto"/>
        <w:jc w:val="both"/>
        <w:rPr>
          <w:rFonts w:ascii="Arial" w:eastAsia="Times New Roman" w:hAnsi="Arial" w:cs="Arial"/>
          <w:color w:val="000000"/>
          <w:kern w:val="0"/>
          <w:lang w:val="en-GB" w:eastAsia="it-IT"/>
          <w14:ligatures w14:val="none"/>
        </w:rPr>
      </w:pPr>
    </w:p>
    <w:p w14:paraId="22EB04EF"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t>Kahn, M. G., Raebel, M. A., Glanz, J. M., Riedlinger, K., &amp; Steiner, J. F. (2012). A pragmatic framework for single-site and multisite data quality assessment in electronic health record-based clinical research. Medical Care, 50, S21-S29.</w:t>
      </w:r>
    </w:p>
    <w:p w14:paraId="2D290EA1"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p>
    <w:p w14:paraId="4462A162" w14:textId="77777777" w:rsidR="00CE44BD" w:rsidRPr="00CE44BD" w:rsidRDefault="00CE44BD" w:rsidP="00CE44BD">
      <w:pPr>
        <w:spacing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lastRenderedPageBreak/>
        <w:t xml:space="preserve">Kevin Kline (2024). The Top Three Reasons Why Secure, Reliable Databases Are Essential for Modern Healthcare Organizations. [online] Database Trends and Applications. Available at: </w:t>
      </w:r>
      <w:hyperlink r:id="rId13" w:history="1">
        <w:r w:rsidRPr="00CE44BD">
          <w:rPr>
            <w:rFonts w:ascii="Arial" w:eastAsia="Times New Roman" w:hAnsi="Arial" w:cs="Arial"/>
            <w:color w:val="000000"/>
            <w:kern w:val="0"/>
            <w:u w:val="single"/>
            <w:lang w:val="en-GB" w:eastAsia="it-IT"/>
            <w14:ligatures w14:val="none"/>
          </w:rPr>
          <w:t>https://www.dbta.com/Editorial/Think-About-It/The-Top-Three-Reasons-Why-Secure-Reliable-Databases-Are-Essential-for-Modern-Healthcare-Organizations-166228.aspx</w:t>
        </w:r>
      </w:hyperlink>
      <w:r w:rsidRPr="00CE44BD">
        <w:rPr>
          <w:rFonts w:ascii="Arial" w:eastAsia="Times New Roman" w:hAnsi="Arial" w:cs="Arial"/>
          <w:color w:val="000000"/>
          <w:kern w:val="0"/>
          <w:lang w:val="en-GB" w:eastAsia="it-IT"/>
          <w14:ligatures w14:val="none"/>
        </w:rPr>
        <w:t>.</w:t>
      </w:r>
    </w:p>
    <w:p w14:paraId="0CC06CE9"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t>Naugler, C., &amp; Church, D. L. (2019). Automation and artificial intelligence in the clinical laboratory. Critical Reviews in Clinical Laboratory Sciences, 56(2), 98-110.</w:t>
      </w:r>
    </w:p>
    <w:p w14:paraId="4D1EE31C"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t>Rahm, E., &amp; Do, H. H. (2000). Data cleaning: Problems and current approaches. IEEE Data Engineering Bulletin, 23(4), 3-13.</w:t>
      </w:r>
    </w:p>
    <w:p w14:paraId="1046F20C" w14:textId="77777777" w:rsidR="00CE44BD" w:rsidRPr="00CE44BD" w:rsidRDefault="00CE44BD" w:rsidP="00CE44BD">
      <w:pPr>
        <w:spacing w:after="0" w:line="480" w:lineRule="auto"/>
        <w:jc w:val="both"/>
        <w:rPr>
          <w:rFonts w:ascii="Arial" w:eastAsia="Times New Roman" w:hAnsi="Arial" w:cs="Arial"/>
          <w:kern w:val="0"/>
          <w:lang w:val="en-GB" w:eastAsia="it-IT"/>
          <w14:ligatures w14:val="none"/>
        </w:rPr>
      </w:pPr>
    </w:p>
    <w:p w14:paraId="74CBF1A8" w14:textId="77777777" w:rsidR="00CE44BD" w:rsidRPr="00CE44BD" w:rsidRDefault="00CE44BD" w:rsidP="00CE44BD">
      <w:pPr>
        <w:spacing w:line="480" w:lineRule="auto"/>
        <w:jc w:val="both"/>
        <w:rPr>
          <w:rFonts w:ascii="Arial" w:eastAsia="Times New Roman" w:hAnsi="Arial" w:cs="Arial"/>
          <w:kern w:val="0"/>
          <w:lang w:val="en-GB" w:eastAsia="it-IT"/>
          <w14:ligatures w14:val="none"/>
        </w:rPr>
      </w:pPr>
      <w:r w:rsidRPr="00CE44BD">
        <w:rPr>
          <w:rFonts w:ascii="Arial" w:eastAsia="Times New Roman" w:hAnsi="Arial" w:cs="Arial"/>
          <w:color w:val="000000"/>
          <w:kern w:val="0"/>
          <w:lang w:val="en-GB" w:eastAsia="it-IT"/>
          <w14:ligatures w14:val="none"/>
        </w:rPr>
        <w:t>Sujansky, W. V. (2001). Heterogeneous database integration in biomedicine. Journal of Biomedical Informatics, 34(4), 285-298.</w:t>
      </w:r>
    </w:p>
    <w:p w14:paraId="6807EB18" w14:textId="1A08B486" w:rsidR="00CE44BD" w:rsidRPr="00CE44BD" w:rsidRDefault="00CE44BD" w:rsidP="00CE44BD">
      <w:pPr>
        <w:spacing w:line="480" w:lineRule="auto"/>
        <w:jc w:val="both"/>
        <w:rPr>
          <w:rFonts w:ascii="Arial" w:eastAsia="Times New Roman" w:hAnsi="Arial" w:cs="Arial"/>
          <w:kern w:val="0"/>
          <w:lang w:val="en-GB" w:eastAsia="it-IT"/>
          <w14:ligatures w14:val="none"/>
        </w:rPr>
      </w:pPr>
      <w:proofErr w:type="gramStart"/>
      <w:r w:rsidRPr="00CE44BD">
        <w:rPr>
          <w:rFonts w:ascii="Arial" w:eastAsia="Times New Roman" w:hAnsi="Arial" w:cs="Arial"/>
          <w:color w:val="000000"/>
          <w:kern w:val="0"/>
          <w:lang w:val="en-GB" w:eastAsia="it-IT"/>
          <w14:ligatures w14:val="none"/>
        </w:rPr>
        <w:t>.XTIVIA</w:t>
      </w:r>
      <w:proofErr w:type="gramEnd"/>
      <w:r w:rsidRPr="00CE44BD">
        <w:rPr>
          <w:rFonts w:ascii="Arial" w:eastAsia="Times New Roman" w:hAnsi="Arial" w:cs="Arial"/>
          <w:color w:val="000000"/>
          <w:kern w:val="0"/>
          <w:lang w:val="en-GB" w:eastAsia="it-IT"/>
          <w14:ligatures w14:val="none"/>
        </w:rPr>
        <w:t xml:space="preserve"> (2023). Microsoft SQL Server: Advantages &amp; Best Practices for Technical Corporate Decision Makers. [online] Virtual-DBA Remote DBA Services &amp; Support - Certified Database Experts. Available at: </w:t>
      </w:r>
      <w:hyperlink r:id="rId14" w:history="1">
        <w:r w:rsidRPr="00CE44BD">
          <w:rPr>
            <w:rFonts w:ascii="Arial" w:eastAsia="Times New Roman" w:hAnsi="Arial" w:cs="Arial"/>
            <w:color w:val="000000"/>
            <w:kern w:val="0"/>
            <w:u w:val="single"/>
            <w:lang w:val="en-GB" w:eastAsia="it-IT"/>
            <w14:ligatures w14:val="none"/>
          </w:rPr>
          <w:t>https://virtual-dba.com/blog/microsoft-sql-server-advantages-and-best-practices/</w:t>
        </w:r>
      </w:hyperlink>
      <w:r w:rsidRPr="00CE44BD">
        <w:rPr>
          <w:rFonts w:ascii="Arial" w:eastAsia="Times New Roman" w:hAnsi="Arial" w:cs="Arial"/>
          <w:color w:val="000000"/>
          <w:kern w:val="0"/>
          <w:lang w:val="en-GB" w:eastAsia="it-IT"/>
          <w14:ligatures w14:val="none"/>
        </w:rPr>
        <w:t>.</w:t>
      </w:r>
    </w:p>
    <w:p w14:paraId="00638B72" w14:textId="77777777" w:rsidR="002F624B" w:rsidRPr="00CE44BD" w:rsidRDefault="002F624B">
      <w:pPr>
        <w:rPr>
          <w:rFonts w:ascii="Arial" w:hAnsi="Arial" w:cs="Arial"/>
          <w:lang w:val="en-GB"/>
        </w:rPr>
      </w:pPr>
    </w:p>
    <w:sectPr w:rsidR="002F624B" w:rsidRPr="00CE44BD" w:rsidSect="00CE44BD">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61B83"/>
    <w:multiLevelType w:val="hybridMultilevel"/>
    <w:tmpl w:val="0F9A0DF2"/>
    <w:lvl w:ilvl="0" w:tplc="96280242">
      <w:start w:val="1"/>
      <w:numFmt w:val="upperRoman"/>
      <w:lvlText w:val="%1-"/>
      <w:lvlJc w:val="left"/>
      <w:pPr>
        <w:ind w:left="900" w:hanging="720"/>
      </w:pPr>
      <w:rPr>
        <w:rFonts w:hint="default"/>
        <w:color w:val="000000"/>
      </w:rPr>
    </w:lvl>
    <w:lvl w:ilvl="1" w:tplc="04100019" w:tentative="1">
      <w:start w:val="1"/>
      <w:numFmt w:val="lowerLetter"/>
      <w:lvlText w:val="%2."/>
      <w:lvlJc w:val="left"/>
      <w:pPr>
        <w:ind w:left="1260" w:hanging="360"/>
      </w:pPr>
    </w:lvl>
    <w:lvl w:ilvl="2" w:tplc="0410001B" w:tentative="1">
      <w:start w:val="1"/>
      <w:numFmt w:val="lowerRoman"/>
      <w:lvlText w:val="%3."/>
      <w:lvlJc w:val="right"/>
      <w:pPr>
        <w:ind w:left="1980" w:hanging="180"/>
      </w:pPr>
    </w:lvl>
    <w:lvl w:ilvl="3" w:tplc="0410000F" w:tentative="1">
      <w:start w:val="1"/>
      <w:numFmt w:val="decimal"/>
      <w:lvlText w:val="%4."/>
      <w:lvlJc w:val="left"/>
      <w:pPr>
        <w:ind w:left="2700" w:hanging="360"/>
      </w:pPr>
    </w:lvl>
    <w:lvl w:ilvl="4" w:tplc="04100019" w:tentative="1">
      <w:start w:val="1"/>
      <w:numFmt w:val="lowerLetter"/>
      <w:lvlText w:val="%5."/>
      <w:lvlJc w:val="left"/>
      <w:pPr>
        <w:ind w:left="3420" w:hanging="360"/>
      </w:pPr>
    </w:lvl>
    <w:lvl w:ilvl="5" w:tplc="0410001B" w:tentative="1">
      <w:start w:val="1"/>
      <w:numFmt w:val="lowerRoman"/>
      <w:lvlText w:val="%6."/>
      <w:lvlJc w:val="right"/>
      <w:pPr>
        <w:ind w:left="4140" w:hanging="180"/>
      </w:pPr>
    </w:lvl>
    <w:lvl w:ilvl="6" w:tplc="0410000F" w:tentative="1">
      <w:start w:val="1"/>
      <w:numFmt w:val="decimal"/>
      <w:lvlText w:val="%7."/>
      <w:lvlJc w:val="left"/>
      <w:pPr>
        <w:ind w:left="4860" w:hanging="360"/>
      </w:pPr>
    </w:lvl>
    <w:lvl w:ilvl="7" w:tplc="04100019" w:tentative="1">
      <w:start w:val="1"/>
      <w:numFmt w:val="lowerLetter"/>
      <w:lvlText w:val="%8."/>
      <w:lvlJc w:val="left"/>
      <w:pPr>
        <w:ind w:left="5580" w:hanging="360"/>
      </w:pPr>
    </w:lvl>
    <w:lvl w:ilvl="8" w:tplc="0410001B" w:tentative="1">
      <w:start w:val="1"/>
      <w:numFmt w:val="lowerRoman"/>
      <w:lvlText w:val="%9."/>
      <w:lvlJc w:val="right"/>
      <w:pPr>
        <w:ind w:left="6300" w:hanging="180"/>
      </w:pPr>
    </w:lvl>
  </w:abstractNum>
  <w:abstractNum w:abstractNumId="1" w15:restartNumberingAfterBreak="0">
    <w:nsid w:val="53C97FFC"/>
    <w:multiLevelType w:val="hybridMultilevel"/>
    <w:tmpl w:val="76E486F8"/>
    <w:lvl w:ilvl="0" w:tplc="DC565F68">
      <w:start w:val="30"/>
      <w:numFmt w:val="bullet"/>
      <w:lvlText w:val="-"/>
      <w:lvlJc w:val="left"/>
      <w:pPr>
        <w:ind w:left="540" w:hanging="360"/>
      </w:pPr>
      <w:rPr>
        <w:rFonts w:ascii="Arial" w:eastAsia="Times New Roman" w:hAnsi="Arial" w:cs="Arial" w:hint="default"/>
        <w:color w:val="000000"/>
      </w:rPr>
    </w:lvl>
    <w:lvl w:ilvl="1" w:tplc="04100003" w:tentative="1">
      <w:start w:val="1"/>
      <w:numFmt w:val="bullet"/>
      <w:lvlText w:val="o"/>
      <w:lvlJc w:val="left"/>
      <w:pPr>
        <w:ind w:left="1260" w:hanging="360"/>
      </w:pPr>
      <w:rPr>
        <w:rFonts w:ascii="Courier New" w:hAnsi="Courier New" w:cs="Courier New" w:hint="default"/>
      </w:rPr>
    </w:lvl>
    <w:lvl w:ilvl="2" w:tplc="04100005" w:tentative="1">
      <w:start w:val="1"/>
      <w:numFmt w:val="bullet"/>
      <w:lvlText w:val=""/>
      <w:lvlJc w:val="left"/>
      <w:pPr>
        <w:ind w:left="1980" w:hanging="360"/>
      </w:pPr>
      <w:rPr>
        <w:rFonts w:ascii="Wingdings" w:hAnsi="Wingdings" w:hint="default"/>
      </w:rPr>
    </w:lvl>
    <w:lvl w:ilvl="3" w:tplc="04100001" w:tentative="1">
      <w:start w:val="1"/>
      <w:numFmt w:val="bullet"/>
      <w:lvlText w:val=""/>
      <w:lvlJc w:val="left"/>
      <w:pPr>
        <w:ind w:left="2700" w:hanging="360"/>
      </w:pPr>
      <w:rPr>
        <w:rFonts w:ascii="Symbol" w:hAnsi="Symbol" w:hint="default"/>
      </w:rPr>
    </w:lvl>
    <w:lvl w:ilvl="4" w:tplc="04100003" w:tentative="1">
      <w:start w:val="1"/>
      <w:numFmt w:val="bullet"/>
      <w:lvlText w:val="o"/>
      <w:lvlJc w:val="left"/>
      <w:pPr>
        <w:ind w:left="3420" w:hanging="360"/>
      </w:pPr>
      <w:rPr>
        <w:rFonts w:ascii="Courier New" w:hAnsi="Courier New" w:cs="Courier New" w:hint="default"/>
      </w:rPr>
    </w:lvl>
    <w:lvl w:ilvl="5" w:tplc="04100005" w:tentative="1">
      <w:start w:val="1"/>
      <w:numFmt w:val="bullet"/>
      <w:lvlText w:val=""/>
      <w:lvlJc w:val="left"/>
      <w:pPr>
        <w:ind w:left="4140" w:hanging="360"/>
      </w:pPr>
      <w:rPr>
        <w:rFonts w:ascii="Wingdings" w:hAnsi="Wingdings" w:hint="default"/>
      </w:rPr>
    </w:lvl>
    <w:lvl w:ilvl="6" w:tplc="04100001" w:tentative="1">
      <w:start w:val="1"/>
      <w:numFmt w:val="bullet"/>
      <w:lvlText w:val=""/>
      <w:lvlJc w:val="left"/>
      <w:pPr>
        <w:ind w:left="4860" w:hanging="360"/>
      </w:pPr>
      <w:rPr>
        <w:rFonts w:ascii="Symbol" w:hAnsi="Symbol" w:hint="default"/>
      </w:rPr>
    </w:lvl>
    <w:lvl w:ilvl="7" w:tplc="04100003" w:tentative="1">
      <w:start w:val="1"/>
      <w:numFmt w:val="bullet"/>
      <w:lvlText w:val="o"/>
      <w:lvlJc w:val="left"/>
      <w:pPr>
        <w:ind w:left="5580" w:hanging="360"/>
      </w:pPr>
      <w:rPr>
        <w:rFonts w:ascii="Courier New" w:hAnsi="Courier New" w:cs="Courier New" w:hint="default"/>
      </w:rPr>
    </w:lvl>
    <w:lvl w:ilvl="8" w:tplc="04100005" w:tentative="1">
      <w:start w:val="1"/>
      <w:numFmt w:val="bullet"/>
      <w:lvlText w:val=""/>
      <w:lvlJc w:val="left"/>
      <w:pPr>
        <w:ind w:left="6300" w:hanging="360"/>
      </w:pPr>
      <w:rPr>
        <w:rFonts w:ascii="Wingdings" w:hAnsi="Wingdings" w:hint="default"/>
      </w:rPr>
    </w:lvl>
  </w:abstractNum>
  <w:abstractNum w:abstractNumId="2" w15:restartNumberingAfterBreak="0">
    <w:nsid w:val="7E2C2690"/>
    <w:multiLevelType w:val="hybridMultilevel"/>
    <w:tmpl w:val="5D3C585E"/>
    <w:lvl w:ilvl="0" w:tplc="35C2D9AC">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num w:numId="1" w16cid:durableId="1636061228">
    <w:abstractNumId w:val="1"/>
  </w:num>
  <w:num w:numId="2" w16cid:durableId="1558127829">
    <w:abstractNumId w:val="0"/>
  </w:num>
  <w:num w:numId="3" w16cid:durableId="535038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4BD"/>
    <w:rsid w:val="00002469"/>
    <w:rsid w:val="000C522E"/>
    <w:rsid w:val="002A792F"/>
    <w:rsid w:val="002B29E9"/>
    <w:rsid w:val="002C1091"/>
    <w:rsid w:val="002F1F4E"/>
    <w:rsid w:val="002F624B"/>
    <w:rsid w:val="003D325E"/>
    <w:rsid w:val="004365EC"/>
    <w:rsid w:val="004C77D6"/>
    <w:rsid w:val="005B783C"/>
    <w:rsid w:val="00755848"/>
    <w:rsid w:val="00767267"/>
    <w:rsid w:val="00851F94"/>
    <w:rsid w:val="008722D0"/>
    <w:rsid w:val="00881498"/>
    <w:rsid w:val="008F51E7"/>
    <w:rsid w:val="00913F51"/>
    <w:rsid w:val="00B26E03"/>
    <w:rsid w:val="00B339AA"/>
    <w:rsid w:val="00B92B18"/>
    <w:rsid w:val="00CE44BD"/>
    <w:rsid w:val="00D21779"/>
    <w:rsid w:val="00D363E3"/>
    <w:rsid w:val="00F4705E"/>
    <w:rsid w:val="00FF6CC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E4CCB"/>
  <w15:chartTrackingRefBased/>
  <w15:docId w15:val="{4E140A88-A3A7-EB44-8B3B-36F3C7028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4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4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4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4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4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4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4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4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4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4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4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4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4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4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4BD"/>
    <w:rPr>
      <w:rFonts w:eastAsiaTheme="majorEastAsia" w:cstheme="majorBidi"/>
      <w:color w:val="272727" w:themeColor="text1" w:themeTint="D8"/>
    </w:rPr>
  </w:style>
  <w:style w:type="paragraph" w:styleId="Title">
    <w:name w:val="Title"/>
    <w:basedOn w:val="Normal"/>
    <w:next w:val="Normal"/>
    <w:link w:val="TitleChar"/>
    <w:uiPriority w:val="10"/>
    <w:qFormat/>
    <w:rsid w:val="00CE4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4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4BD"/>
    <w:pPr>
      <w:spacing w:before="160"/>
      <w:jc w:val="center"/>
    </w:pPr>
    <w:rPr>
      <w:i/>
      <w:iCs/>
      <w:color w:val="404040" w:themeColor="text1" w:themeTint="BF"/>
    </w:rPr>
  </w:style>
  <w:style w:type="character" w:customStyle="1" w:styleId="QuoteChar">
    <w:name w:val="Quote Char"/>
    <w:basedOn w:val="DefaultParagraphFont"/>
    <w:link w:val="Quote"/>
    <w:uiPriority w:val="29"/>
    <w:rsid w:val="00CE44BD"/>
    <w:rPr>
      <w:i/>
      <w:iCs/>
      <w:color w:val="404040" w:themeColor="text1" w:themeTint="BF"/>
    </w:rPr>
  </w:style>
  <w:style w:type="paragraph" w:styleId="ListParagraph">
    <w:name w:val="List Paragraph"/>
    <w:basedOn w:val="Normal"/>
    <w:uiPriority w:val="34"/>
    <w:qFormat/>
    <w:rsid w:val="00CE44BD"/>
    <w:pPr>
      <w:ind w:left="720"/>
      <w:contextualSpacing/>
    </w:pPr>
  </w:style>
  <w:style w:type="character" w:styleId="IntenseEmphasis">
    <w:name w:val="Intense Emphasis"/>
    <w:basedOn w:val="DefaultParagraphFont"/>
    <w:uiPriority w:val="21"/>
    <w:qFormat/>
    <w:rsid w:val="00CE44BD"/>
    <w:rPr>
      <w:i/>
      <w:iCs/>
      <w:color w:val="0F4761" w:themeColor="accent1" w:themeShade="BF"/>
    </w:rPr>
  </w:style>
  <w:style w:type="paragraph" w:styleId="IntenseQuote">
    <w:name w:val="Intense Quote"/>
    <w:basedOn w:val="Normal"/>
    <w:next w:val="Normal"/>
    <w:link w:val="IntenseQuoteChar"/>
    <w:uiPriority w:val="30"/>
    <w:qFormat/>
    <w:rsid w:val="00CE4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4BD"/>
    <w:rPr>
      <w:i/>
      <w:iCs/>
      <w:color w:val="0F4761" w:themeColor="accent1" w:themeShade="BF"/>
    </w:rPr>
  </w:style>
  <w:style w:type="character" w:styleId="IntenseReference">
    <w:name w:val="Intense Reference"/>
    <w:basedOn w:val="DefaultParagraphFont"/>
    <w:uiPriority w:val="32"/>
    <w:qFormat/>
    <w:rsid w:val="00CE44BD"/>
    <w:rPr>
      <w:b/>
      <w:bCs/>
      <w:smallCaps/>
      <w:color w:val="0F4761" w:themeColor="accent1" w:themeShade="BF"/>
      <w:spacing w:val="5"/>
    </w:rPr>
  </w:style>
  <w:style w:type="paragraph" w:styleId="NormalWeb">
    <w:name w:val="Normal (Web)"/>
    <w:basedOn w:val="Normal"/>
    <w:uiPriority w:val="99"/>
    <w:semiHidden/>
    <w:unhideWhenUsed/>
    <w:rsid w:val="00CE44BD"/>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Hyperlink">
    <w:name w:val="Hyperlink"/>
    <w:basedOn w:val="DefaultParagraphFont"/>
    <w:uiPriority w:val="99"/>
    <w:unhideWhenUsed/>
    <w:rsid w:val="00CE44BD"/>
    <w:rPr>
      <w:color w:val="0000FF"/>
      <w:u w:val="single"/>
    </w:rPr>
  </w:style>
  <w:style w:type="character" w:styleId="UnresolvedMention">
    <w:name w:val="Unresolved Mention"/>
    <w:basedOn w:val="DefaultParagraphFont"/>
    <w:uiPriority w:val="99"/>
    <w:semiHidden/>
    <w:unhideWhenUsed/>
    <w:rsid w:val="00CE44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dbta.com/Editorial/Think-About-It/The-Top-Three-Reasons-Why-Secure-Reliable-Databases-Are-Essential-for-Modern-Healthcare-Organizations-166228.aspx"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i.org/10.1007/s13755-023-00211-4"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007/s12553-022-00639-w"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blaze.tech/post/hipaa-compliant-database" TargetMode="External"/><Relationship Id="rId4" Type="http://schemas.openxmlformats.org/officeDocument/2006/relationships/webSettings" Target="webSettings.xml"/><Relationship Id="rId9" Type="http://schemas.openxmlformats.org/officeDocument/2006/relationships/hyperlink" Target="https://www.ibm.com/think/topics/entity-relationship-diagram" TargetMode="External"/><Relationship Id="rId14" Type="http://schemas.openxmlformats.org/officeDocument/2006/relationships/hyperlink" Target="https://virtual-dba.com/blog/microsoft-sql-server-advantages-and-best-practices/"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1299</Words>
  <Characters>8353</Characters>
  <Application>Microsoft Office Word</Application>
  <DocSecurity>0</DocSecurity>
  <Lines>177</Lines>
  <Paragraphs>54</Paragraphs>
  <ScaleCrop>false</ScaleCrop>
  <Company/>
  <LinksUpToDate>false</LinksUpToDate>
  <CharactersWithSpaces>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Larussa</dc:creator>
  <cp:keywords/>
  <dc:description/>
  <cp:lastModifiedBy>Fiaz Ali</cp:lastModifiedBy>
  <cp:revision>11</cp:revision>
  <dcterms:created xsi:type="dcterms:W3CDTF">2026-01-02T13:17:00Z</dcterms:created>
  <dcterms:modified xsi:type="dcterms:W3CDTF">2026-01-20T13:26:00Z</dcterms:modified>
</cp:coreProperties>
</file>