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28BC" w14:textId="67A62C66" w:rsidR="00E63D4A" w:rsidRPr="00286D2F" w:rsidRDefault="000E737E" w:rsidP="00E63D4A">
      <w:pPr>
        <w:rPr>
          <w:rFonts w:ascii="Arial" w:hAnsi="Arial" w:cs="Arial"/>
        </w:rPr>
      </w:pPr>
      <w:r w:rsidRPr="00286D2F">
        <w:rPr>
          <w:rFonts w:ascii="Arial" w:hAnsi="Arial" w:cs="Arial"/>
        </w:rPr>
        <w:t>T</w:t>
      </w:r>
      <w:r w:rsidR="00E63D4A" w:rsidRPr="00286D2F">
        <w:rPr>
          <w:rFonts w:ascii="Arial" w:hAnsi="Arial" w:cs="Arial"/>
        </w:rPr>
        <w:t xml:space="preserve">he Maersk </w:t>
      </w:r>
      <w:proofErr w:type="spellStart"/>
      <w:r w:rsidR="00E63D4A" w:rsidRPr="00286D2F">
        <w:rPr>
          <w:rFonts w:ascii="Arial" w:hAnsi="Arial" w:cs="Arial"/>
        </w:rPr>
        <w:t>NotPetya</w:t>
      </w:r>
      <w:proofErr w:type="spellEnd"/>
      <w:r w:rsidR="00E63D4A" w:rsidRPr="00286D2F">
        <w:rPr>
          <w:rFonts w:ascii="Arial" w:hAnsi="Arial" w:cs="Arial"/>
        </w:rPr>
        <w:t xml:space="preserve"> incident demonstrates how Industry 4.0 technologies can create significant vulnerabilities when cybersecurity measures do not keep pace with increasing connectivity. While digital integration improved operational efficiency, several preventive measures could have reduced the attack's impact.</w:t>
      </w:r>
    </w:p>
    <w:p w14:paraId="432E83B9" w14:textId="77777777" w:rsidR="00E63D4A" w:rsidRPr="00286D2F" w:rsidRDefault="00E63D4A" w:rsidP="00E63D4A">
      <w:pPr>
        <w:rPr>
          <w:rFonts w:ascii="Arial" w:hAnsi="Arial" w:cs="Arial"/>
        </w:rPr>
      </w:pPr>
      <w:r w:rsidRPr="00286D2F">
        <w:rPr>
          <w:rFonts w:ascii="Arial" w:hAnsi="Arial" w:cs="Arial"/>
        </w:rPr>
        <w:t xml:space="preserve">One key measure is network segmentation, which separates critical systems and limits the spread of malware across interconnected networks. If Maersk's systems had been more effectively isolated, the disruption may have been contained to specific business units rather than affecting global operations (Cheung, Bell and </w:t>
      </w:r>
      <w:proofErr w:type="spellStart"/>
      <w:r w:rsidRPr="00286D2F">
        <w:rPr>
          <w:rFonts w:ascii="Arial" w:hAnsi="Arial" w:cs="Arial"/>
        </w:rPr>
        <w:t>Bhattacharjya</w:t>
      </w:r>
      <w:proofErr w:type="spellEnd"/>
      <w:r w:rsidRPr="00286D2F">
        <w:rPr>
          <w:rFonts w:ascii="Arial" w:hAnsi="Arial" w:cs="Arial"/>
        </w:rPr>
        <w:t>, 2021). Additionally, regular patch management and software updates are essential for closing security vulnerabilities before they can be exploited by attackers.</w:t>
      </w:r>
    </w:p>
    <w:p w14:paraId="6A80185C" w14:textId="783C9B59" w:rsidR="00E63D4A" w:rsidRPr="00286D2F" w:rsidRDefault="00E63D4A" w:rsidP="00E63D4A">
      <w:pPr>
        <w:rPr>
          <w:rFonts w:ascii="Arial" w:hAnsi="Arial" w:cs="Arial"/>
        </w:rPr>
      </w:pPr>
      <w:r w:rsidRPr="00286D2F">
        <w:rPr>
          <w:rFonts w:ascii="Arial" w:hAnsi="Arial" w:cs="Arial"/>
        </w:rPr>
        <w:t>Another important control is maintaining secure offline backups and conducting frequent disaster recovery exercises. Although Maersk successfully rebuilt its systems, tested backups and recovery plans could have accelerated restoration efforts and minimized operational disruptions (</w:t>
      </w:r>
      <w:r w:rsidR="00545172" w:rsidRPr="00545172">
        <w:rPr>
          <w:rFonts w:ascii="Arial" w:hAnsi="Arial" w:cs="Arial"/>
        </w:rPr>
        <w:t>MAERSK, 2017)</w:t>
      </w:r>
      <w:r w:rsidRPr="00286D2F">
        <w:rPr>
          <w:rFonts w:ascii="Arial" w:hAnsi="Arial" w:cs="Arial"/>
        </w:rPr>
        <w:t>). Furthermore, implementing a zero-trust security framework, where all users and devices are continuously verified, would strengthen protection against unauthorized access.</w:t>
      </w:r>
    </w:p>
    <w:p w14:paraId="4F337E8D" w14:textId="77777777" w:rsidR="00E63D4A" w:rsidRPr="00286D2F" w:rsidRDefault="00E63D4A" w:rsidP="00E63D4A">
      <w:pPr>
        <w:rPr>
          <w:rFonts w:ascii="Arial" w:hAnsi="Arial" w:cs="Arial"/>
        </w:rPr>
      </w:pPr>
      <w:r w:rsidRPr="00286D2F">
        <w:rPr>
          <w:rFonts w:ascii="Arial" w:hAnsi="Arial" w:cs="Arial"/>
        </w:rPr>
        <w:t>Human factors should also not be overlooked. Regular cybersecurity awareness training can help employees recognize threats and follow secure practices, reducing organizational risk. From an Industry 5.0 perspective, organizations should complement advanced technologies with resilience-focused strategies, including manual contingency procedures that allow essential logistics activities to continue during system outages (Metcalf, 2024).</w:t>
      </w:r>
    </w:p>
    <w:p w14:paraId="058ACE1A" w14:textId="77777777" w:rsidR="00E63D4A" w:rsidRDefault="00E63D4A" w:rsidP="00E63D4A">
      <w:pPr>
        <w:rPr>
          <w:rFonts w:ascii="Arial" w:hAnsi="Arial" w:cs="Arial"/>
        </w:rPr>
      </w:pPr>
      <w:r w:rsidRPr="00286D2F">
        <w:rPr>
          <w:rFonts w:ascii="Arial" w:hAnsi="Arial" w:cs="Arial"/>
        </w:rPr>
        <w:t>Overall, a combination of technical safeguards, disaster recovery planning, and human-centered resilience measures would have significantly reduced the likelihood and consequences of the incident.</w:t>
      </w:r>
    </w:p>
    <w:p w14:paraId="09BB7028" w14:textId="77777777" w:rsidR="00D6232C" w:rsidRPr="00286D2F" w:rsidRDefault="00D6232C" w:rsidP="00E63D4A">
      <w:pPr>
        <w:rPr>
          <w:rFonts w:ascii="Arial" w:hAnsi="Arial" w:cs="Arial"/>
        </w:rPr>
      </w:pPr>
    </w:p>
    <w:p w14:paraId="39117DFB" w14:textId="77777777" w:rsidR="00E63D4A" w:rsidRPr="00D6232C" w:rsidRDefault="00E63D4A" w:rsidP="00E63D4A">
      <w:pPr>
        <w:rPr>
          <w:rFonts w:ascii="Arial" w:hAnsi="Arial" w:cs="Arial"/>
        </w:rPr>
      </w:pPr>
      <w:r w:rsidRPr="00D6232C">
        <w:rPr>
          <w:rFonts w:ascii="Arial" w:hAnsi="Arial" w:cs="Arial"/>
        </w:rPr>
        <w:t>References</w:t>
      </w:r>
    </w:p>
    <w:p w14:paraId="0BB27F60" w14:textId="15D905C8" w:rsidR="00286D2F" w:rsidRPr="00D6232C" w:rsidRDefault="00286D2F" w:rsidP="00E63D4A">
      <w:pPr>
        <w:rPr>
          <w:rFonts w:ascii="Arial" w:hAnsi="Arial" w:cs="Arial"/>
        </w:rPr>
      </w:pPr>
      <w:r w:rsidRPr="00D6232C">
        <w:rPr>
          <w:rFonts w:ascii="Arial" w:hAnsi="Arial" w:cs="Arial"/>
        </w:rPr>
        <w:t xml:space="preserve">Cheung, K.-F., Bell, M.G.H. and </w:t>
      </w:r>
      <w:proofErr w:type="spellStart"/>
      <w:r w:rsidRPr="00D6232C">
        <w:rPr>
          <w:rFonts w:ascii="Arial" w:hAnsi="Arial" w:cs="Arial"/>
        </w:rPr>
        <w:t>Bhattacharjya</w:t>
      </w:r>
      <w:proofErr w:type="spellEnd"/>
      <w:r w:rsidRPr="00D6232C">
        <w:rPr>
          <w:rFonts w:ascii="Arial" w:hAnsi="Arial" w:cs="Arial"/>
        </w:rPr>
        <w:t xml:space="preserve">, J. (2021). Cybersecurity in logistics and supply chain management: An overview and future research directions. Transportation Research Part E: Logistics and Transportation Review, [online] 146, p.102217. </w:t>
      </w:r>
      <w:proofErr w:type="gramStart"/>
      <w:r w:rsidRPr="00D6232C">
        <w:rPr>
          <w:rFonts w:ascii="Arial" w:hAnsi="Arial" w:cs="Arial"/>
        </w:rPr>
        <w:t>doi:10.1016/j.tre</w:t>
      </w:r>
      <w:proofErr w:type="gramEnd"/>
      <w:r w:rsidRPr="00D6232C">
        <w:rPr>
          <w:rFonts w:ascii="Arial" w:hAnsi="Arial" w:cs="Arial"/>
        </w:rPr>
        <w:t>.2020.102217.</w:t>
      </w:r>
    </w:p>
    <w:p w14:paraId="2BB9736E" w14:textId="66F059D1" w:rsidR="005937B6" w:rsidRPr="00D6232C" w:rsidRDefault="005937B6" w:rsidP="00E63D4A">
      <w:pPr>
        <w:rPr>
          <w:rFonts w:ascii="Arial" w:hAnsi="Arial" w:cs="Arial"/>
        </w:rPr>
      </w:pPr>
      <w:r w:rsidRPr="00D6232C">
        <w:rPr>
          <w:rFonts w:ascii="Arial" w:hAnsi="Arial" w:cs="Arial"/>
        </w:rPr>
        <w:t>MAERSK (2017). 2017 Annual Report. [online] Available at: https://investor.maersk.com/system/files-encrypted/nasdaq_kms/assets/2018/04/25/13-00-21/A.P._Moller_-_Maersk_Annual_Report_2017.pdf [Accessed 13 Aug. 2026].</w:t>
      </w:r>
    </w:p>
    <w:p w14:paraId="4E7E9616" w14:textId="171C562E" w:rsidR="00D6232C" w:rsidRPr="00D6232C" w:rsidRDefault="00D6232C" w:rsidP="00E63D4A">
      <w:pPr>
        <w:rPr>
          <w:rFonts w:ascii="Arial" w:hAnsi="Arial" w:cs="Arial"/>
        </w:rPr>
      </w:pPr>
      <w:r w:rsidRPr="00D6232C">
        <w:rPr>
          <w:rFonts w:ascii="Arial" w:hAnsi="Arial" w:cs="Arial"/>
        </w:rPr>
        <w:t>Metcalf, G.S. (2024). An Introduction to Industry 5.0: History, Foundations, and Futures. Translational systems sciences, pp.1–29. doi:10.1007/978-981-99-9730-5_1.</w:t>
      </w:r>
    </w:p>
    <w:p w14:paraId="2FFE904D" w14:textId="77777777" w:rsidR="00286D2F" w:rsidRDefault="00286D2F" w:rsidP="00E63D4A">
      <w:pPr>
        <w:rPr>
          <w:rFonts w:ascii="Arial" w:hAnsi="Arial" w:cs="Arial"/>
        </w:rPr>
      </w:pPr>
    </w:p>
    <w:p w14:paraId="45C57EF1" w14:textId="77777777" w:rsidR="00BF0255" w:rsidRDefault="00BF0255"/>
    <w:sectPr w:rsidR="00BF0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4A"/>
    <w:rsid w:val="000E737E"/>
    <w:rsid w:val="00286D2F"/>
    <w:rsid w:val="00545172"/>
    <w:rsid w:val="005937B6"/>
    <w:rsid w:val="00710ED0"/>
    <w:rsid w:val="00BF0255"/>
    <w:rsid w:val="00C47DF3"/>
    <w:rsid w:val="00D6232C"/>
    <w:rsid w:val="00E63D4A"/>
    <w:rsid w:val="00EF5C4A"/>
    <w:rsid w:val="00F97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6A26"/>
  <w15:chartTrackingRefBased/>
  <w15:docId w15:val="{FC62CE50-FCB8-4982-9E83-68357892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D4A"/>
    <w:rPr>
      <w:rFonts w:eastAsiaTheme="majorEastAsia" w:cstheme="majorBidi"/>
      <w:color w:val="272727" w:themeColor="text1" w:themeTint="D8"/>
    </w:rPr>
  </w:style>
  <w:style w:type="paragraph" w:styleId="Title">
    <w:name w:val="Title"/>
    <w:basedOn w:val="Normal"/>
    <w:next w:val="Normal"/>
    <w:link w:val="TitleChar"/>
    <w:uiPriority w:val="10"/>
    <w:qFormat/>
    <w:rsid w:val="00E6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D4A"/>
    <w:pPr>
      <w:spacing w:before="160"/>
      <w:jc w:val="center"/>
    </w:pPr>
    <w:rPr>
      <w:i/>
      <w:iCs/>
      <w:color w:val="404040" w:themeColor="text1" w:themeTint="BF"/>
    </w:rPr>
  </w:style>
  <w:style w:type="character" w:customStyle="1" w:styleId="QuoteChar">
    <w:name w:val="Quote Char"/>
    <w:basedOn w:val="DefaultParagraphFont"/>
    <w:link w:val="Quote"/>
    <w:uiPriority w:val="29"/>
    <w:rsid w:val="00E63D4A"/>
    <w:rPr>
      <w:i/>
      <w:iCs/>
      <w:color w:val="404040" w:themeColor="text1" w:themeTint="BF"/>
    </w:rPr>
  </w:style>
  <w:style w:type="paragraph" w:styleId="ListParagraph">
    <w:name w:val="List Paragraph"/>
    <w:basedOn w:val="Normal"/>
    <w:uiPriority w:val="34"/>
    <w:qFormat/>
    <w:rsid w:val="00E63D4A"/>
    <w:pPr>
      <w:ind w:left="720"/>
      <w:contextualSpacing/>
    </w:pPr>
  </w:style>
  <w:style w:type="character" w:styleId="IntenseEmphasis">
    <w:name w:val="Intense Emphasis"/>
    <w:basedOn w:val="DefaultParagraphFont"/>
    <w:uiPriority w:val="21"/>
    <w:qFormat/>
    <w:rsid w:val="00E63D4A"/>
    <w:rPr>
      <w:i/>
      <w:iCs/>
      <w:color w:val="0F4761" w:themeColor="accent1" w:themeShade="BF"/>
    </w:rPr>
  </w:style>
  <w:style w:type="paragraph" w:styleId="IntenseQuote">
    <w:name w:val="Intense Quote"/>
    <w:basedOn w:val="Normal"/>
    <w:next w:val="Normal"/>
    <w:link w:val="IntenseQuoteChar"/>
    <w:uiPriority w:val="30"/>
    <w:qFormat/>
    <w:rsid w:val="00E63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D4A"/>
    <w:rPr>
      <w:i/>
      <w:iCs/>
      <w:color w:val="0F4761" w:themeColor="accent1" w:themeShade="BF"/>
    </w:rPr>
  </w:style>
  <w:style w:type="character" w:styleId="IntenseReference">
    <w:name w:val="Intense Reference"/>
    <w:basedOn w:val="DefaultParagraphFont"/>
    <w:uiPriority w:val="32"/>
    <w:qFormat/>
    <w:rsid w:val="00E63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323</Words>
  <Characters>2267</Characters>
  <Application>Microsoft Office Word</Application>
  <DocSecurity>0</DocSecurity>
  <Lines>33</Lines>
  <Paragraphs>10</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6</cp:revision>
  <dcterms:created xsi:type="dcterms:W3CDTF">2026-08-13T15:08:00Z</dcterms:created>
  <dcterms:modified xsi:type="dcterms:W3CDTF">2026-08-13T15:15:00Z</dcterms:modified>
</cp:coreProperties>
</file>