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3B941A" w14:textId="77777777" w:rsidR="0043428B" w:rsidRPr="0043428B" w:rsidRDefault="0047140A" w:rsidP="0043428B">
      <w:pPr>
        <w:pStyle w:val="NormalWeb"/>
        <w:shd w:val="clear" w:color="auto" w:fill="FFFFFF"/>
        <w:spacing w:before="0" w:beforeAutospacing="0"/>
        <w:rPr>
          <w:rFonts w:ascii="Arial" w:hAnsi="Arial" w:cs="Arial"/>
          <w:color w:val="4C5A73"/>
        </w:rPr>
      </w:pPr>
      <w:r>
        <w:rPr>
          <w:rFonts w:ascii="Arial" w:hAnsi="Arial" w:cs="Arial"/>
          <w:color w:val="4C5A73"/>
        </w:rPr>
        <w:br/>
      </w:r>
      <w:r w:rsidR="0043428B" w:rsidRPr="0043428B">
        <w:rPr>
          <w:rFonts w:ascii="Arial" w:hAnsi="Arial" w:cs="Arial"/>
          <w:color w:val="4C5A73"/>
        </w:rPr>
        <w:t>Dear Fiaz,</w:t>
      </w:r>
    </w:p>
    <w:p w14:paraId="5CAD909F" w14:textId="77777777" w:rsidR="0043428B" w:rsidRPr="0043428B" w:rsidRDefault="0043428B" w:rsidP="0043428B">
      <w:pPr>
        <w:shd w:val="clear" w:color="auto" w:fill="FFFFFF"/>
        <w:spacing w:after="100" w:afterAutospacing="1" w:line="240" w:lineRule="auto"/>
        <w:rPr>
          <w:rFonts w:ascii="Arial" w:eastAsia="Times New Roman" w:hAnsi="Arial" w:cs="Arial"/>
          <w:color w:val="4C5A73"/>
          <w:kern w:val="0"/>
          <w:lang w:val="en-TT" w:eastAsia="en-TT"/>
          <w14:ligatures w14:val="none"/>
        </w:rPr>
      </w:pPr>
      <w:r w:rsidRPr="0043428B">
        <w:rPr>
          <w:rFonts w:ascii="Arial" w:eastAsia="Times New Roman" w:hAnsi="Arial" w:cs="Arial"/>
          <w:color w:val="4C5A73"/>
          <w:kern w:val="0"/>
          <w:lang w:val="en-TT" w:eastAsia="en-TT"/>
          <w14:ligatures w14:val="none"/>
        </w:rPr>
        <w:t xml:space="preserve">Your post makes an important connection between cybersecurity and patient care. </w:t>
      </w:r>
      <w:proofErr w:type="spellStart"/>
      <w:r w:rsidRPr="0043428B">
        <w:rPr>
          <w:rFonts w:ascii="Arial" w:eastAsia="Times New Roman" w:hAnsi="Arial" w:cs="Arial"/>
          <w:color w:val="4C5A73"/>
          <w:kern w:val="0"/>
          <w:lang w:val="en-TT" w:eastAsia="en-TT"/>
          <w14:ligatures w14:val="none"/>
        </w:rPr>
        <w:t>WannaCry</w:t>
      </w:r>
      <w:proofErr w:type="spellEnd"/>
      <w:r w:rsidRPr="0043428B">
        <w:rPr>
          <w:rFonts w:ascii="Arial" w:eastAsia="Times New Roman" w:hAnsi="Arial" w:cs="Arial"/>
          <w:color w:val="4C5A73"/>
          <w:kern w:val="0"/>
          <w:lang w:val="en-TT" w:eastAsia="en-TT"/>
          <w14:ligatures w14:val="none"/>
        </w:rPr>
        <w:t xml:space="preserve"> shows that, in healthcare, loss of system availability can itself become a safety issue even where information </w:t>
      </w:r>
      <w:proofErr w:type="gramStart"/>
      <w:r w:rsidRPr="0043428B">
        <w:rPr>
          <w:rFonts w:ascii="Arial" w:eastAsia="Times New Roman" w:hAnsi="Arial" w:cs="Arial"/>
          <w:color w:val="4C5A73"/>
          <w:kern w:val="0"/>
          <w:lang w:val="en-TT" w:eastAsia="en-TT"/>
          <w14:ligatures w14:val="none"/>
        </w:rPr>
        <w:t>is not stolen</w:t>
      </w:r>
      <w:proofErr w:type="gramEnd"/>
      <w:r w:rsidRPr="0043428B">
        <w:rPr>
          <w:rFonts w:ascii="Arial" w:eastAsia="Times New Roman" w:hAnsi="Arial" w:cs="Arial"/>
          <w:color w:val="4C5A73"/>
          <w:kern w:val="0"/>
          <w:lang w:val="en-TT" w:eastAsia="en-TT"/>
          <w14:ligatures w14:val="none"/>
        </w:rPr>
        <w:t xml:space="preserve">. </w:t>
      </w:r>
      <w:r w:rsidRPr="0043428B">
        <w:rPr>
          <w:rFonts w:ascii="Arial" w:eastAsia="Times New Roman" w:hAnsi="Arial" w:cs="Arial"/>
          <w:color w:val="4C5A73"/>
          <w:kern w:val="0"/>
          <w:lang w:eastAsia="en-TT"/>
          <w14:ligatures w14:val="none"/>
        </w:rPr>
        <w:t xml:space="preserve">The NAO found no evidence that NHS patient data </w:t>
      </w:r>
      <w:proofErr w:type="gramStart"/>
      <w:r w:rsidRPr="0043428B">
        <w:rPr>
          <w:rFonts w:ascii="Arial" w:eastAsia="Times New Roman" w:hAnsi="Arial" w:cs="Arial"/>
          <w:color w:val="4C5A73"/>
          <w:kern w:val="0"/>
          <w:lang w:eastAsia="en-TT"/>
          <w14:ligatures w14:val="none"/>
        </w:rPr>
        <w:t>had been compromised</w:t>
      </w:r>
      <w:proofErr w:type="gramEnd"/>
      <w:r w:rsidRPr="0043428B">
        <w:rPr>
          <w:rFonts w:ascii="Arial" w:eastAsia="Times New Roman" w:hAnsi="Arial" w:cs="Arial"/>
          <w:color w:val="4C5A73"/>
          <w:kern w:val="0"/>
          <w:lang w:eastAsia="en-TT"/>
          <w14:ligatures w14:val="none"/>
        </w:rPr>
        <w:t>. Nevertheless, at least 81 of England’s 236 trusts experienced disruption, while NHS England’s partial records indicated that the overall number of cancelled appointments probably exceeded 19,000 (National Audit Office, 2017).</w:t>
      </w:r>
    </w:p>
    <w:p w14:paraId="0992022D" w14:textId="77777777" w:rsidR="0043428B" w:rsidRPr="0043428B" w:rsidRDefault="0043428B" w:rsidP="0043428B">
      <w:pPr>
        <w:shd w:val="clear" w:color="auto" w:fill="FFFFFF"/>
        <w:spacing w:after="100" w:afterAutospacing="1" w:line="240" w:lineRule="auto"/>
        <w:rPr>
          <w:rFonts w:ascii="Arial" w:eastAsia="Times New Roman" w:hAnsi="Arial" w:cs="Arial"/>
          <w:color w:val="4C5A73"/>
          <w:kern w:val="0"/>
          <w:lang w:val="en-TT" w:eastAsia="en-TT"/>
          <w14:ligatures w14:val="none"/>
        </w:rPr>
      </w:pPr>
      <w:r w:rsidRPr="0043428B">
        <w:rPr>
          <w:rFonts w:ascii="Arial" w:eastAsia="Times New Roman" w:hAnsi="Arial" w:cs="Arial"/>
          <w:color w:val="4C5A73"/>
          <w:kern w:val="0"/>
          <w:lang w:val="en-TT" w:eastAsia="en-TT"/>
          <w14:ligatures w14:val="none"/>
        </w:rPr>
        <w:t xml:space="preserve">A useful refinement concerns the description of outdated systems. The Department of Health and Social Care (2023) reports that most affected NHS devices were running supported but unpatched operating systems. The problem was therefore not only legacy technology, but also patch governance and organisational assurance. </w:t>
      </w:r>
      <w:r w:rsidRPr="0043428B">
        <w:rPr>
          <w:rFonts w:ascii="Arial" w:eastAsia="Times New Roman" w:hAnsi="Arial" w:cs="Arial"/>
          <w:color w:val="4C5A73"/>
          <w:kern w:val="0"/>
          <w:lang w:eastAsia="en-TT"/>
          <w14:ligatures w14:val="none"/>
        </w:rPr>
        <w:t xml:space="preserve">NHS Digital circulated urgent patching warnings before the incident, but central oversight did not establish whether individual NHS </w:t>
      </w:r>
      <w:proofErr w:type="spellStart"/>
      <w:r w:rsidRPr="0043428B">
        <w:rPr>
          <w:rFonts w:ascii="Arial" w:eastAsia="Times New Roman" w:hAnsi="Arial" w:cs="Arial"/>
          <w:color w:val="4C5A73"/>
          <w:kern w:val="0"/>
          <w:lang w:eastAsia="en-TT"/>
          <w14:ligatures w14:val="none"/>
        </w:rPr>
        <w:t>organisations</w:t>
      </w:r>
      <w:proofErr w:type="spellEnd"/>
      <w:r w:rsidRPr="0043428B">
        <w:rPr>
          <w:rFonts w:ascii="Arial" w:eastAsia="Times New Roman" w:hAnsi="Arial" w:cs="Arial"/>
          <w:color w:val="4C5A73"/>
          <w:kern w:val="0"/>
          <w:lang w:eastAsia="en-TT"/>
          <w14:ligatures w14:val="none"/>
        </w:rPr>
        <w:t xml:space="preserve"> had implemented the guidance or could respond effectively to a major cyberattack (National Audit Office, 2017).</w:t>
      </w:r>
    </w:p>
    <w:p w14:paraId="416A26BA" w14:textId="77777777" w:rsidR="0043428B" w:rsidRPr="0043428B" w:rsidRDefault="0043428B" w:rsidP="0043428B">
      <w:pPr>
        <w:shd w:val="clear" w:color="auto" w:fill="FFFFFF"/>
        <w:spacing w:after="100" w:afterAutospacing="1" w:line="240" w:lineRule="auto"/>
        <w:rPr>
          <w:rFonts w:ascii="Arial" w:eastAsia="Times New Roman" w:hAnsi="Arial" w:cs="Arial"/>
          <w:color w:val="4C5A73"/>
          <w:kern w:val="0"/>
          <w:lang w:val="en-TT" w:eastAsia="en-TT"/>
          <w14:ligatures w14:val="none"/>
        </w:rPr>
      </w:pPr>
      <w:r w:rsidRPr="0043428B">
        <w:rPr>
          <w:rFonts w:ascii="Arial" w:eastAsia="Times New Roman" w:hAnsi="Arial" w:cs="Arial"/>
          <w:color w:val="4C5A73"/>
          <w:kern w:val="0"/>
          <w:lang w:val="en-TT" w:eastAsia="en-TT"/>
          <w14:ligatures w14:val="none"/>
        </w:rPr>
        <w:t xml:space="preserve">This also helps prioritise the measures you identify. Staff awareness remains valuable, but </w:t>
      </w:r>
      <w:proofErr w:type="spellStart"/>
      <w:r w:rsidRPr="0043428B">
        <w:rPr>
          <w:rFonts w:ascii="Arial" w:eastAsia="Times New Roman" w:hAnsi="Arial" w:cs="Arial"/>
          <w:color w:val="4C5A73"/>
          <w:kern w:val="0"/>
          <w:lang w:val="en-TT" w:eastAsia="en-TT"/>
          <w14:ligatures w14:val="none"/>
        </w:rPr>
        <w:t>WannaCry</w:t>
      </w:r>
      <w:proofErr w:type="spellEnd"/>
      <w:r w:rsidRPr="0043428B">
        <w:rPr>
          <w:rFonts w:ascii="Arial" w:eastAsia="Times New Roman" w:hAnsi="Arial" w:cs="Arial"/>
          <w:color w:val="4C5A73"/>
          <w:kern w:val="0"/>
          <w:lang w:val="en-TT" w:eastAsia="en-TT"/>
          <w14:ligatures w14:val="none"/>
        </w:rPr>
        <w:t xml:space="preserve"> spread through a technical vulnerability rather than relying principally on individual deception. Asset visibility, timely patching, protected backups and rehearsed response arrangements were therefore more directly relevant. The NHS had developed a national response plan but had not tested it locally, producing uncertainty over leadership and communications during the incident (National Audit Office, 2017).</w:t>
      </w:r>
    </w:p>
    <w:p w14:paraId="205C981F" w14:textId="77777777" w:rsidR="0043428B" w:rsidRPr="0043428B" w:rsidRDefault="0043428B" w:rsidP="0043428B">
      <w:pPr>
        <w:shd w:val="clear" w:color="auto" w:fill="FFFFFF"/>
        <w:spacing w:after="100" w:afterAutospacing="1" w:line="240" w:lineRule="auto"/>
        <w:rPr>
          <w:rFonts w:ascii="Arial" w:eastAsia="Times New Roman" w:hAnsi="Arial" w:cs="Arial"/>
          <w:color w:val="4C5A73"/>
          <w:kern w:val="0"/>
          <w:lang w:val="en-TT" w:eastAsia="en-TT"/>
          <w14:ligatures w14:val="none"/>
        </w:rPr>
      </w:pPr>
      <w:r w:rsidRPr="0043428B">
        <w:rPr>
          <w:rFonts w:ascii="Arial" w:eastAsia="Times New Roman" w:hAnsi="Arial" w:cs="Arial"/>
          <w:color w:val="4C5A73"/>
          <w:kern w:val="0"/>
          <w:lang w:val="en-TT" w:eastAsia="en-TT"/>
          <w14:ligatures w14:val="none"/>
        </w:rPr>
        <w:t xml:space="preserve">Industry 5.0 can extend this lesson by organising resilience around clinical need. Recovery priorities should protect emergency care, diagnostics and medication systems first, while clinically tested offline procedures preserve safe care during disruption. This converts Metcalf’s human-centred principle into an operational standard: cybersecurity </w:t>
      </w:r>
      <w:proofErr w:type="gramStart"/>
      <w:r w:rsidRPr="0043428B">
        <w:rPr>
          <w:rFonts w:ascii="Arial" w:eastAsia="Times New Roman" w:hAnsi="Arial" w:cs="Arial"/>
          <w:color w:val="4C5A73"/>
          <w:kern w:val="0"/>
          <w:lang w:val="en-TT" w:eastAsia="en-TT"/>
          <w14:ligatures w14:val="none"/>
        </w:rPr>
        <w:t>is assessed</w:t>
      </w:r>
      <w:proofErr w:type="gramEnd"/>
      <w:r w:rsidRPr="0043428B">
        <w:rPr>
          <w:rFonts w:ascii="Arial" w:eastAsia="Times New Roman" w:hAnsi="Arial" w:cs="Arial"/>
          <w:color w:val="4C5A73"/>
          <w:kern w:val="0"/>
          <w:lang w:val="en-TT" w:eastAsia="en-TT"/>
          <w14:ligatures w14:val="none"/>
        </w:rPr>
        <w:t xml:space="preserve"> by whether essential care remains safe, not simply by whether systems are eventually restored (Metcalf, 2024).</w:t>
      </w:r>
    </w:p>
    <w:p w14:paraId="1B449BFB" w14:textId="77777777" w:rsidR="0043428B" w:rsidRPr="0043428B" w:rsidRDefault="0043428B" w:rsidP="0043428B">
      <w:pPr>
        <w:shd w:val="clear" w:color="auto" w:fill="FFFFFF"/>
        <w:spacing w:after="100" w:afterAutospacing="1" w:line="240" w:lineRule="auto"/>
        <w:rPr>
          <w:rFonts w:ascii="Arial" w:eastAsia="Times New Roman" w:hAnsi="Arial" w:cs="Arial"/>
          <w:color w:val="4C5A73"/>
          <w:kern w:val="0"/>
          <w:lang w:val="en-TT" w:eastAsia="en-TT"/>
          <w14:ligatures w14:val="none"/>
        </w:rPr>
      </w:pPr>
      <w:r w:rsidRPr="0043428B">
        <w:rPr>
          <w:rFonts w:ascii="Arial" w:eastAsia="Times New Roman" w:hAnsi="Arial" w:cs="Arial"/>
          <w:b/>
          <w:bCs/>
          <w:color w:val="4C5A73"/>
          <w:kern w:val="0"/>
          <w:lang w:val="en-TT" w:eastAsia="en-TT"/>
          <w14:ligatures w14:val="none"/>
        </w:rPr>
        <w:t>References</w:t>
      </w:r>
    </w:p>
    <w:p w14:paraId="3220A0EF" w14:textId="77777777" w:rsidR="0043428B" w:rsidRPr="0043428B" w:rsidRDefault="0043428B" w:rsidP="0043428B">
      <w:pPr>
        <w:shd w:val="clear" w:color="auto" w:fill="FFFFFF"/>
        <w:spacing w:after="100" w:afterAutospacing="1" w:line="240" w:lineRule="auto"/>
        <w:rPr>
          <w:rFonts w:ascii="Arial" w:eastAsia="Times New Roman" w:hAnsi="Arial" w:cs="Arial"/>
          <w:color w:val="4C5A73"/>
          <w:kern w:val="0"/>
          <w:lang w:val="en-TT" w:eastAsia="en-TT"/>
          <w14:ligatures w14:val="none"/>
        </w:rPr>
      </w:pPr>
      <w:r w:rsidRPr="0043428B">
        <w:rPr>
          <w:rFonts w:ascii="Arial" w:eastAsia="Times New Roman" w:hAnsi="Arial" w:cs="Arial"/>
          <w:color w:val="4C5A73"/>
          <w:kern w:val="0"/>
          <w:lang w:val="en-TT" w:eastAsia="en-TT"/>
          <w14:ligatures w14:val="none"/>
        </w:rPr>
        <w:t xml:space="preserve">Department of Health and Social Care (2023) </w:t>
      </w:r>
      <w:proofErr w:type="gramStart"/>
      <w:r w:rsidRPr="0043428B">
        <w:rPr>
          <w:rFonts w:ascii="Arial" w:eastAsia="Times New Roman" w:hAnsi="Arial" w:cs="Arial"/>
          <w:i/>
          <w:iCs/>
          <w:color w:val="4C5A73"/>
          <w:kern w:val="0"/>
          <w:lang w:val="en-TT" w:eastAsia="en-TT"/>
          <w14:ligatures w14:val="none"/>
        </w:rPr>
        <w:t>A</w:t>
      </w:r>
      <w:proofErr w:type="gramEnd"/>
      <w:r w:rsidRPr="0043428B">
        <w:rPr>
          <w:rFonts w:ascii="Arial" w:eastAsia="Times New Roman" w:hAnsi="Arial" w:cs="Arial"/>
          <w:i/>
          <w:iCs/>
          <w:color w:val="4C5A73"/>
          <w:kern w:val="0"/>
          <w:lang w:val="en-TT" w:eastAsia="en-TT"/>
          <w14:ligatures w14:val="none"/>
        </w:rPr>
        <w:t xml:space="preserve"> cyber resilient health and adult social care system in England: Cyber security strategy to 2030</w:t>
      </w:r>
      <w:r w:rsidRPr="0043428B">
        <w:rPr>
          <w:rFonts w:ascii="Arial" w:eastAsia="Times New Roman" w:hAnsi="Arial" w:cs="Arial"/>
          <w:color w:val="4C5A73"/>
          <w:kern w:val="0"/>
          <w:lang w:val="en-TT" w:eastAsia="en-TT"/>
          <w14:ligatures w14:val="none"/>
        </w:rPr>
        <w:t xml:space="preserve">. Available at: </w:t>
      </w:r>
      <w:hyperlink r:id="rId4" w:history="1">
        <w:r w:rsidRPr="0043428B">
          <w:rPr>
            <w:rFonts w:ascii="Arial" w:eastAsia="Times New Roman" w:hAnsi="Arial" w:cs="Arial"/>
            <w:b/>
            <w:bCs/>
            <w:color w:val="622567"/>
            <w:kern w:val="0"/>
            <w:u w:val="single"/>
            <w:lang w:val="en-TT" w:eastAsia="en-TT"/>
            <w14:ligatures w14:val="none"/>
          </w:rPr>
          <w:t>https://www.gov.uk/government/publications/cyber-security-strategy-for-health-and-social-care-2023-to-2030/a-cyber-resilient-health-and-adult-social-care-system-in-england-cyber-security-strategy-to-2030</w:t>
        </w:r>
      </w:hyperlink>
      <w:r w:rsidRPr="0043428B">
        <w:rPr>
          <w:rFonts w:ascii="Arial" w:eastAsia="Times New Roman" w:hAnsi="Arial" w:cs="Arial"/>
          <w:color w:val="4C5A73"/>
          <w:kern w:val="0"/>
          <w:lang w:val="en-TT" w:eastAsia="en-TT"/>
          <w14:ligatures w14:val="none"/>
        </w:rPr>
        <w:t xml:space="preserve"> (Accessed: 16 August 2026).</w:t>
      </w:r>
    </w:p>
    <w:p w14:paraId="28CAC5DF" w14:textId="77777777" w:rsidR="0043428B" w:rsidRPr="0043428B" w:rsidRDefault="0043428B" w:rsidP="0043428B">
      <w:pPr>
        <w:shd w:val="clear" w:color="auto" w:fill="FFFFFF"/>
        <w:spacing w:after="100" w:afterAutospacing="1" w:line="240" w:lineRule="auto"/>
        <w:rPr>
          <w:rFonts w:ascii="Arial" w:eastAsia="Times New Roman" w:hAnsi="Arial" w:cs="Arial"/>
          <w:color w:val="4C5A73"/>
          <w:kern w:val="0"/>
          <w:lang w:val="en-TT" w:eastAsia="en-TT"/>
          <w14:ligatures w14:val="none"/>
        </w:rPr>
      </w:pPr>
      <w:r w:rsidRPr="0043428B">
        <w:rPr>
          <w:rFonts w:ascii="Arial" w:eastAsia="Times New Roman" w:hAnsi="Arial" w:cs="Arial"/>
          <w:color w:val="4C5A73"/>
          <w:kern w:val="0"/>
          <w:lang w:val="en-TT" w:eastAsia="en-TT"/>
          <w14:ligatures w14:val="none"/>
        </w:rPr>
        <w:t>Metcalf, G.S. (2024) ‘</w:t>
      </w:r>
      <w:proofErr w:type="gramStart"/>
      <w:r w:rsidRPr="0043428B">
        <w:rPr>
          <w:rFonts w:ascii="Arial" w:eastAsia="Times New Roman" w:hAnsi="Arial" w:cs="Arial"/>
          <w:color w:val="4C5A73"/>
          <w:kern w:val="0"/>
          <w:lang w:val="en-TT" w:eastAsia="en-TT"/>
          <w14:ligatures w14:val="none"/>
        </w:rPr>
        <w:t>An</w:t>
      </w:r>
      <w:proofErr w:type="gramEnd"/>
      <w:r w:rsidRPr="0043428B">
        <w:rPr>
          <w:rFonts w:ascii="Arial" w:eastAsia="Times New Roman" w:hAnsi="Arial" w:cs="Arial"/>
          <w:color w:val="4C5A73"/>
          <w:kern w:val="0"/>
          <w:lang w:val="en-TT" w:eastAsia="en-TT"/>
          <w14:ligatures w14:val="none"/>
        </w:rPr>
        <w:t xml:space="preserve"> introduction to Industry 5.0: History, foundations, and futures’, in </w:t>
      </w:r>
      <w:proofErr w:type="spellStart"/>
      <w:r w:rsidRPr="0043428B">
        <w:rPr>
          <w:rFonts w:ascii="Arial" w:eastAsia="Times New Roman" w:hAnsi="Arial" w:cs="Arial"/>
          <w:color w:val="4C5A73"/>
          <w:kern w:val="0"/>
          <w:lang w:val="en-TT" w:eastAsia="en-TT"/>
          <w14:ligatures w14:val="none"/>
        </w:rPr>
        <w:t>Nousala</w:t>
      </w:r>
      <w:proofErr w:type="spellEnd"/>
      <w:r w:rsidRPr="0043428B">
        <w:rPr>
          <w:rFonts w:ascii="Arial" w:eastAsia="Times New Roman" w:hAnsi="Arial" w:cs="Arial"/>
          <w:color w:val="4C5A73"/>
          <w:kern w:val="0"/>
          <w:lang w:val="en-TT" w:eastAsia="en-TT"/>
          <w14:ligatures w14:val="none"/>
        </w:rPr>
        <w:t xml:space="preserve">, S., Metcalf, G.S. and </w:t>
      </w:r>
      <w:proofErr w:type="spellStart"/>
      <w:r w:rsidRPr="0043428B">
        <w:rPr>
          <w:rFonts w:ascii="Arial" w:eastAsia="Times New Roman" w:hAnsi="Arial" w:cs="Arial"/>
          <w:color w:val="4C5A73"/>
          <w:kern w:val="0"/>
          <w:lang w:val="en-TT" w:eastAsia="en-TT"/>
          <w14:ligatures w14:val="none"/>
        </w:rPr>
        <w:t>Ing</w:t>
      </w:r>
      <w:proofErr w:type="spellEnd"/>
      <w:r w:rsidRPr="0043428B">
        <w:rPr>
          <w:rFonts w:ascii="Arial" w:eastAsia="Times New Roman" w:hAnsi="Arial" w:cs="Arial"/>
          <w:color w:val="4C5A73"/>
          <w:kern w:val="0"/>
          <w:lang w:val="en-TT" w:eastAsia="en-TT"/>
          <w14:ligatures w14:val="none"/>
        </w:rPr>
        <w:t xml:space="preserve">, D. (eds.) </w:t>
      </w:r>
      <w:r w:rsidRPr="0043428B">
        <w:rPr>
          <w:rFonts w:ascii="Arial" w:eastAsia="Times New Roman" w:hAnsi="Arial" w:cs="Arial"/>
          <w:i/>
          <w:iCs/>
          <w:color w:val="4C5A73"/>
          <w:kern w:val="0"/>
          <w:lang w:val="en-TT" w:eastAsia="en-TT"/>
          <w14:ligatures w14:val="none"/>
        </w:rPr>
        <w:t>Industry 4.0 to Industry 5.0: Explorations in the transition from a techno-economic to a socio-technical future</w:t>
      </w:r>
      <w:r w:rsidRPr="0043428B">
        <w:rPr>
          <w:rFonts w:ascii="Arial" w:eastAsia="Times New Roman" w:hAnsi="Arial" w:cs="Arial"/>
          <w:color w:val="4C5A73"/>
          <w:kern w:val="0"/>
          <w:lang w:val="en-TT" w:eastAsia="en-TT"/>
          <w14:ligatures w14:val="none"/>
        </w:rPr>
        <w:t xml:space="preserve">. Singapore: Springer, pp. 1–29. Available at: </w:t>
      </w:r>
      <w:hyperlink r:id="rId5" w:history="1">
        <w:r w:rsidRPr="0043428B">
          <w:rPr>
            <w:rFonts w:ascii="Arial" w:eastAsia="Times New Roman" w:hAnsi="Arial" w:cs="Arial"/>
            <w:b/>
            <w:bCs/>
            <w:color w:val="622567"/>
            <w:kern w:val="0"/>
            <w:u w:val="single"/>
            <w:lang w:val="en-TT" w:eastAsia="en-TT"/>
            <w14:ligatures w14:val="none"/>
          </w:rPr>
          <w:t>https://doi.org/10.1007/978-981-99-9730-5_1</w:t>
        </w:r>
      </w:hyperlink>
      <w:r w:rsidRPr="0043428B">
        <w:rPr>
          <w:rFonts w:ascii="Arial" w:eastAsia="Times New Roman" w:hAnsi="Arial" w:cs="Arial"/>
          <w:color w:val="4C5A73"/>
          <w:kern w:val="0"/>
          <w:lang w:val="en-TT" w:eastAsia="en-TT"/>
          <w14:ligatures w14:val="none"/>
        </w:rPr>
        <w:t xml:space="preserve"> (Accessed: 16 August 2026).</w:t>
      </w:r>
    </w:p>
    <w:p w14:paraId="0615B5B6" w14:textId="77777777" w:rsidR="0043428B" w:rsidRPr="0043428B" w:rsidRDefault="0043428B" w:rsidP="0043428B">
      <w:pPr>
        <w:shd w:val="clear" w:color="auto" w:fill="FFFFFF"/>
        <w:spacing w:after="100" w:afterAutospacing="1" w:line="240" w:lineRule="auto"/>
        <w:rPr>
          <w:rFonts w:ascii="Arial" w:eastAsia="Times New Roman" w:hAnsi="Arial" w:cs="Arial"/>
          <w:color w:val="4C5A73"/>
          <w:kern w:val="0"/>
          <w:lang w:val="en-TT" w:eastAsia="en-TT"/>
          <w14:ligatures w14:val="none"/>
        </w:rPr>
      </w:pPr>
      <w:r w:rsidRPr="0043428B">
        <w:rPr>
          <w:rFonts w:ascii="Arial" w:eastAsia="Times New Roman" w:hAnsi="Arial" w:cs="Arial"/>
          <w:color w:val="4C5A73"/>
          <w:kern w:val="0"/>
          <w:lang w:val="en-TT" w:eastAsia="en-TT"/>
          <w14:ligatures w14:val="none"/>
        </w:rPr>
        <w:lastRenderedPageBreak/>
        <w:t xml:space="preserve">National Audit Office (2017) </w:t>
      </w:r>
      <w:r w:rsidRPr="0043428B">
        <w:rPr>
          <w:rFonts w:ascii="Arial" w:eastAsia="Times New Roman" w:hAnsi="Arial" w:cs="Arial"/>
          <w:i/>
          <w:iCs/>
          <w:color w:val="4C5A73"/>
          <w:kern w:val="0"/>
          <w:lang w:val="en-TT" w:eastAsia="en-TT"/>
          <w14:ligatures w14:val="none"/>
        </w:rPr>
        <w:t xml:space="preserve">Investigation: </w:t>
      </w:r>
      <w:proofErr w:type="spellStart"/>
      <w:r w:rsidRPr="0043428B">
        <w:rPr>
          <w:rFonts w:ascii="Arial" w:eastAsia="Times New Roman" w:hAnsi="Arial" w:cs="Arial"/>
          <w:i/>
          <w:iCs/>
          <w:color w:val="4C5A73"/>
          <w:kern w:val="0"/>
          <w:lang w:val="en-TT" w:eastAsia="en-TT"/>
          <w14:ligatures w14:val="none"/>
        </w:rPr>
        <w:t>WannaCry</w:t>
      </w:r>
      <w:proofErr w:type="spellEnd"/>
      <w:r w:rsidRPr="0043428B">
        <w:rPr>
          <w:rFonts w:ascii="Arial" w:eastAsia="Times New Roman" w:hAnsi="Arial" w:cs="Arial"/>
          <w:i/>
          <w:iCs/>
          <w:color w:val="4C5A73"/>
          <w:kern w:val="0"/>
          <w:lang w:val="en-TT" w:eastAsia="en-TT"/>
          <w14:ligatures w14:val="none"/>
        </w:rPr>
        <w:t xml:space="preserve"> </w:t>
      </w:r>
      <w:proofErr w:type="spellStart"/>
      <w:r w:rsidRPr="0043428B">
        <w:rPr>
          <w:rFonts w:ascii="Arial" w:eastAsia="Times New Roman" w:hAnsi="Arial" w:cs="Arial"/>
          <w:i/>
          <w:iCs/>
          <w:color w:val="4C5A73"/>
          <w:kern w:val="0"/>
          <w:lang w:val="en-TT" w:eastAsia="en-TT"/>
          <w14:ligatures w14:val="none"/>
        </w:rPr>
        <w:t>cyber attack</w:t>
      </w:r>
      <w:proofErr w:type="spellEnd"/>
      <w:r w:rsidRPr="0043428B">
        <w:rPr>
          <w:rFonts w:ascii="Arial" w:eastAsia="Times New Roman" w:hAnsi="Arial" w:cs="Arial"/>
          <w:i/>
          <w:iCs/>
          <w:color w:val="4C5A73"/>
          <w:kern w:val="0"/>
          <w:lang w:val="en-TT" w:eastAsia="en-TT"/>
          <w14:ligatures w14:val="none"/>
        </w:rPr>
        <w:t xml:space="preserve"> and the NHS</w:t>
      </w:r>
      <w:r w:rsidRPr="0043428B">
        <w:rPr>
          <w:rFonts w:ascii="Arial" w:eastAsia="Times New Roman" w:hAnsi="Arial" w:cs="Arial"/>
          <w:color w:val="4C5A73"/>
          <w:kern w:val="0"/>
          <w:lang w:val="en-TT" w:eastAsia="en-TT"/>
          <w14:ligatures w14:val="none"/>
        </w:rPr>
        <w:t xml:space="preserve">. HC 414, Session 2017–2019. London: National Audit Office. Available at: </w:t>
      </w:r>
      <w:hyperlink r:id="rId6" w:history="1">
        <w:r w:rsidRPr="0043428B">
          <w:rPr>
            <w:rFonts w:ascii="Arial" w:eastAsia="Times New Roman" w:hAnsi="Arial" w:cs="Arial"/>
            <w:b/>
            <w:bCs/>
            <w:color w:val="622567"/>
            <w:kern w:val="0"/>
            <w:u w:val="single"/>
            <w:lang w:val="en-TT" w:eastAsia="en-TT"/>
            <w14:ligatures w14:val="none"/>
          </w:rPr>
          <w:t>https://www.nao.org.uk/reports/investigation-wannacry-cyber-attack-and-the-nhs/</w:t>
        </w:r>
      </w:hyperlink>
      <w:r w:rsidRPr="0043428B">
        <w:rPr>
          <w:rFonts w:ascii="Arial" w:eastAsia="Times New Roman" w:hAnsi="Arial" w:cs="Arial"/>
          <w:color w:val="4C5A73"/>
          <w:kern w:val="0"/>
          <w:lang w:val="en-TT" w:eastAsia="en-TT"/>
          <w14:ligatures w14:val="none"/>
        </w:rPr>
        <w:t xml:space="preserve"> (Accessed: 16 August 2026).</w:t>
      </w:r>
    </w:p>
    <w:p w14:paraId="25254F05" w14:textId="3A6C350A" w:rsidR="00BF0255" w:rsidRPr="0047140A" w:rsidRDefault="00BF0255" w:rsidP="0043428B">
      <w:pPr>
        <w:pStyle w:val="NormalWeb"/>
        <w:shd w:val="clear" w:color="auto" w:fill="FFFFFF"/>
        <w:spacing w:before="0" w:beforeAutospacing="0"/>
      </w:pPr>
      <w:bookmarkStart w:id="0" w:name="_GoBack"/>
      <w:bookmarkEnd w:id="0"/>
    </w:p>
    <w:sectPr w:rsidR="00BF0255" w:rsidRPr="00471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33E"/>
    <w:rsid w:val="0043428B"/>
    <w:rsid w:val="0047140A"/>
    <w:rsid w:val="00710ED0"/>
    <w:rsid w:val="00890BD1"/>
    <w:rsid w:val="00BF0255"/>
    <w:rsid w:val="00C47DF3"/>
    <w:rsid w:val="00EF5C4A"/>
    <w:rsid w:val="00FE3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89B37"/>
  <w15:chartTrackingRefBased/>
  <w15:docId w15:val="{39F80FE1-815E-4C5E-AE6C-4BCA9E43A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E3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3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3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3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3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3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3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3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3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33E"/>
    <w:rPr>
      <w:rFonts w:eastAsiaTheme="majorEastAsia" w:cstheme="majorBidi"/>
      <w:color w:val="272727" w:themeColor="text1" w:themeTint="D8"/>
    </w:rPr>
  </w:style>
  <w:style w:type="paragraph" w:styleId="Title">
    <w:name w:val="Title"/>
    <w:basedOn w:val="Normal"/>
    <w:next w:val="Normal"/>
    <w:link w:val="TitleChar"/>
    <w:uiPriority w:val="10"/>
    <w:qFormat/>
    <w:rsid w:val="00FE3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33E"/>
    <w:pPr>
      <w:spacing w:before="160"/>
      <w:jc w:val="center"/>
    </w:pPr>
    <w:rPr>
      <w:i/>
      <w:iCs/>
      <w:color w:val="404040" w:themeColor="text1" w:themeTint="BF"/>
    </w:rPr>
  </w:style>
  <w:style w:type="character" w:customStyle="1" w:styleId="QuoteChar">
    <w:name w:val="Quote Char"/>
    <w:basedOn w:val="DefaultParagraphFont"/>
    <w:link w:val="Quote"/>
    <w:uiPriority w:val="29"/>
    <w:rsid w:val="00FE333E"/>
    <w:rPr>
      <w:i/>
      <w:iCs/>
      <w:color w:val="404040" w:themeColor="text1" w:themeTint="BF"/>
    </w:rPr>
  </w:style>
  <w:style w:type="paragraph" w:styleId="ListParagraph">
    <w:name w:val="List Paragraph"/>
    <w:basedOn w:val="Normal"/>
    <w:uiPriority w:val="34"/>
    <w:qFormat/>
    <w:rsid w:val="00FE333E"/>
    <w:pPr>
      <w:ind w:left="720"/>
      <w:contextualSpacing/>
    </w:pPr>
  </w:style>
  <w:style w:type="character" w:styleId="IntenseEmphasis">
    <w:name w:val="Intense Emphasis"/>
    <w:basedOn w:val="DefaultParagraphFont"/>
    <w:uiPriority w:val="21"/>
    <w:qFormat/>
    <w:rsid w:val="00FE333E"/>
    <w:rPr>
      <w:i/>
      <w:iCs/>
      <w:color w:val="0F4761" w:themeColor="accent1" w:themeShade="BF"/>
    </w:rPr>
  </w:style>
  <w:style w:type="paragraph" w:styleId="IntenseQuote">
    <w:name w:val="Intense Quote"/>
    <w:basedOn w:val="Normal"/>
    <w:next w:val="Normal"/>
    <w:link w:val="IntenseQuoteChar"/>
    <w:uiPriority w:val="30"/>
    <w:qFormat/>
    <w:rsid w:val="00FE3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33E"/>
    <w:rPr>
      <w:i/>
      <w:iCs/>
      <w:color w:val="0F4761" w:themeColor="accent1" w:themeShade="BF"/>
    </w:rPr>
  </w:style>
  <w:style w:type="character" w:styleId="IntenseReference">
    <w:name w:val="Intense Reference"/>
    <w:basedOn w:val="DefaultParagraphFont"/>
    <w:uiPriority w:val="32"/>
    <w:qFormat/>
    <w:rsid w:val="00FE333E"/>
    <w:rPr>
      <w:b/>
      <w:bCs/>
      <w:smallCaps/>
      <w:color w:val="0F4761" w:themeColor="accent1" w:themeShade="BF"/>
      <w:spacing w:val="5"/>
    </w:rPr>
  </w:style>
  <w:style w:type="paragraph" w:styleId="NormalWeb">
    <w:name w:val="Normal (Web)"/>
    <w:basedOn w:val="Normal"/>
    <w:uiPriority w:val="99"/>
    <w:unhideWhenUsed/>
    <w:rsid w:val="0047140A"/>
    <w:pPr>
      <w:spacing w:before="100" w:beforeAutospacing="1" w:after="100" w:afterAutospacing="1" w:line="240" w:lineRule="auto"/>
    </w:pPr>
    <w:rPr>
      <w:rFonts w:ascii="Times New Roman" w:eastAsia="Times New Roman" w:hAnsi="Times New Roman" w:cs="Times New Roman"/>
      <w:kern w:val="0"/>
      <w:lang w:val="en-TT" w:eastAsia="en-TT"/>
      <w14:ligatures w14:val="none"/>
    </w:rPr>
  </w:style>
  <w:style w:type="character" w:styleId="Hyperlink">
    <w:name w:val="Hyperlink"/>
    <w:basedOn w:val="DefaultParagraphFont"/>
    <w:uiPriority w:val="99"/>
    <w:semiHidden/>
    <w:unhideWhenUsed/>
    <w:rsid w:val="004342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0880853">
      <w:bodyDiv w:val="1"/>
      <w:marLeft w:val="0"/>
      <w:marRight w:val="0"/>
      <w:marTop w:val="0"/>
      <w:marBottom w:val="0"/>
      <w:divBdr>
        <w:top w:val="none" w:sz="0" w:space="0" w:color="auto"/>
        <w:left w:val="none" w:sz="0" w:space="0" w:color="auto"/>
        <w:bottom w:val="none" w:sz="0" w:space="0" w:color="auto"/>
        <w:right w:val="none" w:sz="0" w:space="0" w:color="auto"/>
      </w:divBdr>
    </w:div>
    <w:div w:id="150504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ao.org.uk/reports/investigation-wannacry-cyber-attack-and-the-nhs/" TargetMode="External"/><Relationship Id="rId5" Type="http://schemas.openxmlformats.org/officeDocument/2006/relationships/hyperlink" Target="https://doi.org/10.1007/978-981-99-9730-5_1" TargetMode="External"/><Relationship Id="rId4" Type="http://schemas.openxmlformats.org/officeDocument/2006/relationships/hyperlink" Target="https://www.gov.uk/government/publications/cyber-security-strategy-for-health-and-social-care-2023-to-2030/a-cyber-resilient-health-and-adult-social-care-system-in-england-cyber-security-strategy-to-2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Richard</cp:lastModifiedBy>
  <cp:revision>3</cp:revision>
  <dcterms:created xsi:type="dcterms:W3CDTF">2026-08-17T12:54:00Z</dcterms:created>
  <dcterms:modified xsi:type="dcterms:W3CDTF">2026-10-09T23:12:00Z</dcterms:modified>
</cp:coreProperties>
</file>