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9FDB" w14:textId="2D331391" w:rsidR="00436280" w:rsidRPr="00436280" w:rsidRDefault="00436280" w:rsidP="00436280">
      <w:pPr>
        <w:rPr>
          <w:rFonts w:ascii="Arial" w:hAnsi="Arial" w:cs="Arial"/>
        </w:rPr>
      </w:pPr>
      <w:r w:rsidRPr="00436280">
        <w:rPr>
          <w:rFonts w:ascii="Arial" w:hAnsi="Arial" w:cs="Arial"/>
        </w:rPr>
        <w:t xml:space="preserve">My initial post introduced both the EU’s General Data Protection Regulation (GDPR) and Trinidad and Tobago’s Data Protection Act. Through peer reviews, I further explored South Africa’s Protection of Personal Information Act (POPIA) and Mexico’s Federal Law on Protection of Personal Data Held by Private Parties (LFPDPPP). </w:t>
      </w:r>
    </w:p>
    <w:p w14:paraId="74227297" w14:textId="6978A86B" w:rsidR="00436280" w:rsidRPr="00436280" w:rsidRDefault="00436280" w:rsidP="00436280">
      <w:pPr>
        <w:rPr>
          <w:rFonts w:ascii="Arial" w:hAnsi="Arial" w:cs="Arial"/>
        </w:rPr>
      </w:pPr>
      <w:r w:rsidRPr="00436280">
        <w:rPr>
          <w:rFonts w:ascii="Arial" w:hAnsi="Arial" w:cs="Arial"/>
        </w:rPr>
        <w:t>Protecting personal data is now a central pillar of modern data</w:t>
      </w:r>
      <w:r w:rsidRPr="00436280">
        <w:rPr>
          <w:rFonts w:ascii="Arial" w:hAnsi="Arial" w:cs="Arial"/>
        </w:rPr>
        <w:noBreakHyphen/>
        <w:t>governance practices, with global regulations emphasizing the need to preserve individuals’ privacy. Although privacy must be protected from arbitrary or unlawful interference, it is not considered an absolute right; instead, it must be balanced against competing societal and operational needs (Team, 2018). Across the GDPR, Trinidad and Tobago’s Data Protection Act, POPIA, and LFPDPPP, a common thread emerges: each seeks to protect personal information while promoting accountability and responsible data handling.</w:t>
      </w:r>
    </w:p>
    <w:p w14:paraId="6893097B" w14:textId="77777777" w:rsidR="00436280" w:rsidRPr="00436280" w:rsidRDefault="00436280" w:rsidP="00436280">
      <w:pPr>
        <w:rPr>
          <w:rFonts w:ascii="Arial" w:hAnsi="Arial" w:cs="Arial"/>
        </w:rPr>
      </w:pPr>
      <w:r w:rsidRPr="00436280">
        <w:rPr>
          <w:rFonts w:ascii="Arial" w:hAnsi="Arial" w:cs="Arial"/>
        </w:rPr>
        <w:t>Among these, the GDPR remains the most comprehensive and stringent. It is widely regarded as the strongest privacy and security law globally, supported by rigorous technical and organizational safeguards, extensive guidance, and powerful enforcement mechanisms (European Council, 2024). In contrast, Trinidad and Tobago’s Data Protection Act lacks the same prescriptive clarity and has not been fully implemented, limiting its practical impact. POPIA and LFPDPPP fall between these two ends of the spectrum—rooted in strong privacy principles but differing in enforcement capacity, regulatory maturity, and operational depth.</w:t>
      </w:r>
    </w:p>
    <w:p w14:paraId="6BDFB2FC" w14:textId="77777777" w:rsidR="00436280" w:rsidRPr="00436280" w:rsidRDefault="00436280" w:rsidP="00436280">
      <w:pPr>
        <w:rPr>
          <w:rFonts w:ascii="Arial" w:hAnsi="Arial" w:cs="Arial"/>
        </w:rPr>
      </w:pPr>
      <w:r w:rsidRPr="00436280">
        <w:rPr>
          <w:rFonts w:ascii="Arial" w:hAnsi="Arial" w:cs="Arial"/>
        </w:rPr>
        <w:t>Despite these variations, all of these data</w:t>
      </w:r>
      <w:r w:rsidRPr="00436280">
        <w:rPr>
          <w:rFonts w:ascii="Arial" w:hAnsi="Arial" w:cs="Arial"/>
        </w:rPr>
        <w:noBreakHyphen/>
        <w:t>protection frameworks share a common goal: recognizing privacy as a fundamental right and ensuring that personal information is handled responsibly throughout its lifecycle. As Fite (2022) explains, effective data governance and security depend on applying consistent rules from data creation to its final use, ensuring protection at every stage.</w:t>
      </w:r>
    </w:p>
    <w:p w14:paraId="7FE25EAF" w14:textId="77777777" w:rsidR="00436280" w:rsidRPr="00436280" w:rsidRDefault="00436280" w:rsidP="00436280">
      <w:pPr>
        <w:rPr>
          <w:rFonts w:ascii="Arial" w:hAnsi="Arial" w:cs="Arial"/>
        </w:rPr>
      </w:pPr>
      <w:r w:rsidRPr="00436280">
        <w:rPr>
          <w:rFonts w:ascii="Arial" w:hAnsi="Arial" w:cs="Arial"/>
        </w:rPr>
        <w:t>After completing this unit and reviewing my colleagues’ insights, I conclude that successful data</w:t>
      </w:r>
      <w:r w:rsidRPr="00436280">
        <w:rPr>
          <w:rFonts w:ascii="Arial" w:hAnsi="Arial" w:cs="Arial"/>
        </w:rPr>
        <w:noBreakHyphen/>
        <w:t>protection outcomes rely primarily on proactive governance, strong security practices, and clear organisational accountability—regardless of jurisdiction.</w:t>
      </w:r>
    </w:p>
    <w:p w14:paraId="4235D406" w14:textId="77777777" w:rsidR="00436280" w:rsidRDefault="00436280">
      <w:pPr>
        <w:rPr>
          <w:rFonts w:ascii="Arial" w:hAnsi="Arial" w:cs="Arial"/>
        </w:rPr>
      </w:pPr>
    </w:p>
    <w:p w14:paraId="5C9ABAD3" w14:textId="77777777" w:rsidR="00B627E8" w:rsidRPr="0032579B" w:rsidRDefault="00B627E8" w:rsidP="00B627E8">
      <w:pPr>
        <w:rPr>
          <w:rFonts w:ascii="Arial" w:hAnsi="Arial" w:cs="Arial"/>
          <w:b/>
          <w:bCs/>
        </w:rPr>
      </w:pPr>
      <w:r w:rsidRPr="0032579B">
        <w:rPr>
          <w:rFonts w:ascii="Arial" w:hAnsi="Arial" w:cs="Arial"/>
          <w:b/>
          <w:bCs/>
        </w:rPr>
        <w:t>References</w:t>
      </w:r>
    </w:p>
    <w:p w14:paraId="36FE2790" w14:textId="77777777" w:rsidR="00B627E8" w:rsidRPr="0032579B" w:rsidRDefault="00B627E8" w:rsidP="00B627E8">
      <w:pPr>
        <w:rPr>
          <w:rFonts w:ascii="Arial" w:hAnsi="Arial" w:cs="Arial"/>
        </w:rPr>
      </w:pPr>
      <w:r w:rsidRPr="0032579B">
        <w:rPr>
          <w:rFonts w:ascii="Arial" w:hAnsi="Arial" w:cs="Arial"/>
        </w:rPr>
        <w:t>Team, S.N. (2018). Privacy vs. Security Debate: 5 Governments Say ‘Privacy Is Not Absolute’. [online] Secureworld.io. Available at: https://www.secureworld.io/industry-news/privacy-vs.-security-debate-report [Accessed 22 Jan. 2026].</w:t>
      </w:r>
    </w:p>
    <w:p w14:paraId="4F40A344" w14:textId="77777777" w:rsidR="00B627E8" w:rsidRPr="0032579B" w:rsidRDefault="00B627E8" w:rsidP="00B627E8">
      <w:pPr>
        <w:rPr>
          <w:rFonts w:ascii="Arial" w:hAnsi="Arial" w:cs="Arial"/>
        </w:rPr>
      </w:pPr>
      <w:r w:rsidRPr="0032579B">
        <w:rPr>
          <w:rFonts w:ascii="Arial" w:hAnsi="Arial" w:cs="Arial"/>
        </w:rPr>
        <w:t xml:space="preserve">European Council (2024). The general data protection regulation. [online] Consilium. Available at: </w:t>
      </w:r>
      <w:hyperlink r:id="rId4" w:history="1">
        <w:r w:rsidRPr="0032579B">
          <w:rPr>
            <w:rStyle w:val="Hyperlink"/>
            <w:rFonts w:ascii="Arial" w:hAnsi="Arial" w:cs="Arial"/>
            <w:color w:val="auto"/>
          </w:rPr>
          <w:t>https://www.consilium.europa.eu/en/policies/data-protection-regulation/</w:t>
        </w:r>
      </w:hyperlink>
      <w:r w:rsidRPr="0032579B">
        <w:rPr>
          <w:rFonts w:ascii="Arial" w:hAnsi="Arial" w:cs="Arial"/>
        </w:rPr>
        <w:t>.</w:t>
      </w:r>
    </w:p>
    <w:p w14:paraId="6DEA9D20" w14:textId="7DC44D61" w:rsidR="00B627E8" w:rsidRPr="0032579B" w:rsidRDefault="00B627E8" w:rsidP="00B627E8">
      <w:pPr>
        <w:rPr>
          <w:rFonts w:ascii="Arial" w:hAnsi="Arial" w:cs="Arial"/>
        </w:rPr>
      </w:pPr>
      <w:r w:rsidRPr="0032579B">
        <w:rPr>
          <w:rFonts w:ascii="Arial" w:hAnsi="Arial" w:cs="Arial"/>
        </w:rPr>
        <w:t>Fite, J. (2022). A Proactive Approach to Data Governance and Data Security -A Proposed Framework. [online] doi:https://doi.org/10.13140/RG.2.2.24262.55361</w:t>
      </w:r>
    </w:p>
    <w:sectPr w:rsidR="00B627E8" w:rsidRPr="00325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8C"/>
    <w:rsid w:val="00056D2A"/>
    <w:rsid w:val="00057C82"/>
    <w:rsid w:val="00084DFA"/>
    <w:rsid w:val="000B0A81"/>
    <w:rsid w:val="000B0E55"/>
    <w:rsid w:val="000B2CB1"/>
    <w:rsid w:val="00161EAB"/>
    <w:rsid w:val="0018000F"/>
    <w:rsid w:val="001A146C"/>
    <w:rsid w:val="002009B6"/>
    <w:rsid w:val="00206E4F"/>
    <w:rsid w:val="002620C8"/>
    <w:rsid w:val="00277A6C"/>
    <w:rsid w:val="002875E6"/>
    <w:rsid w:val="002B2832"/>
    <w:rsid w:val="002C189F"/>
    <w:rsid w:val="0032579B"/>
    <w:rsid w:val="0039443F"/>
    <w:rsid w:val="0039785C"/>
    <w:rsid w:val="003E7137"/>
    <w:rsid w:val="00401C5D"/>
    <w:rsid w:val="00436280"/>
    <w:rsid w:val="004544F1"/>
    <w:rsid w:val="004B7E8E"/>
    <w:rsid w:val="004E02DD"/>
    <w:rsid w:val="005828C3"/>
    <w:rsid w:val="00622E95"/>
    <w:rsid w:val="00644BE4"/>
    <w:rsid w:val="00662E12"/>
    <w:rsid w:val="006B1418"/>
    <w:rsid w:val="00710647"/>
    <w:rsid w:val="00710ED0"/>
    <w:rsid w:val="0079678A"/>
    <w:rsid w:val="007B04F1"/>
    <w:rsid w:val="00854828"/>
    <w:rsid w:val="00883ADF"/>
    <w:rsid w:val="008B4538"/>
    <w:rsid w:val="0097500E"/>
    <w:rsid w:val="0099437F"/>
    <w:rsid w:val="009D2B80"/>
    <w:rsid w:val="00A20237"/>
    <w:rsid w:val="00A35DB1"/>
    <w:rsid w:val="00B17504"/>
    <w:rsid w:val="00B26489"/>
    <w:rsid w:val="00B627E8"/>
    <w:rsid w:val="00BC1623"/>
    <w:rsid w:val="00BD78AD"/>
    <w:rsid w:val="00BF0255"/>
    <w:rsid w:val="00C00F3D"/>
    <w:rsid w:val="00C47DF3"/>
    <w:rsid w:val="00C545F3"/>
    <w:rsid w:val="00C55EF7"/>
    <w:rsid w:val="00C626D1"/>
    <w:rsid w:val="00CB43FB"/>
    <w:rsid w:val="00D25BE7"/>
    <w:rsid w:val="00D405A7"/>
    <w:rsid w:val="00D6313B"/>
    <w:rsid w:val="00D7767B"/>
    <w:rsid w:val="00D82F59"/>
    <w:rsid w:val="00DE3C77"/>
    <w:rsid w:val="00DE6B5B"/>
    <w:rsid w:val="00E304B3"/>
    <w:rsid w:val="00E40539"/>
    <w:rsid w:val="00E4402E"/>
    <w:rsid w:val="00E91921"/>
    <w:rsid w:val="00EA338C"/>
    <w:rsid w:val="00EF5C4A"/>
    <w:rsid w:val="00F51D1F"/>
    <w:rsid w:val="00F831D3"/>
    <w:rsid w:val="00FE0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C074"/>
  <w15:chartTrackingRefBased/>
  <w15:docId w15:val="{C1D3E32C-E629-492E-AEE9-9349E001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7E8"/>
  </w:style>
  <w:style w:type="paragraph" w:styleId="Heading1">
    <w:name w:val="heading 1"/>
    <w:basedOn w:val="Normal"/>
    <w:next w:val="Normal"/>
    <w:link w:val="Heading1Char"/>
    <w:uiPriority w:val="9"/>
    <w:qFormat/>
    <w:rsid w:val="00EA3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8C"/>
    <w:rPr>
      <w:rFonts w:eastAsiaTheme="majorEastAsia" w:cstheme="majorBidi"/>
      <w:color w:val="272727" w:themeColor="text1" w:themeTint="D8"/>
    </w:rPr>
  </w:style>
  <w:style w:type="paragraph" w:styleId="Title">
    <w:name w:val="Title"/>
    <w:basedOn w:val="Normal"/>
    <w:next w:val="Normal"/>
    <w:link w:val="TitleChar"/>
    <w:uiPriority w:val="10"/>
    <w:qFormat/>
    <w:rsid w:val="00EA3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8C"/>
    <w:pPr>
      <w:spacing w:before="160"/>
      <w:jc w:val="center"/>
    </w:pPr>
    <w:rPr>
      <w:i/>
      <w:iCs/>
      <w:color w:val="404040" w:themeColor="text1" w:themeTint="BF"/>
    </w:rPr>
  </w:style>
  <w:style w:type="character" w:customStyle="1" w:styleId="QuoteChar">
    <w:name w:val="Quote Char"/>
    <w:basedOn w:val="DefaultParagraphFont"/>
    <w:link w:val="Quote"/>
    <w:uiPriority w:val="29"/>
    <w:rsid w:val="00EA338C"/>
    <w:rPr>
      <w:i/>
      <w:iCs/>
      <w:color w:val="404040" w:themeColor="text1" w:themeTint="BF"/>
    </w:rPr>
  </w:style>
  <w:style w:type="paragraph" w:styleId="ListParagraph">
    <w:name w:val="List Paragraph"/>
    <w:basedOn w:val="Normal"/>
    <w:uiPriority w:val="34"/>
    <w:qFormat/>
    <w:rsid w:val="00EA338C"/>
    <w:pPr>
      <w:ind w:left="720"/>
      <w:contextualSpacing/>
    </w:pPr>
  </w:style>
  <w:style w:type="character" w:styleId="IntenseEmphasis">
    <w:name w:val="Intense Emphasis"/>
    <w:basedOn w:val="DefaultParagraphFont"/>
    <w:uiPriority w:val="21"/>
    <w:qFormat/>
    <w:rsid w:val="00EA338C"/>
    <w:rPr>
      <w:i/>
      <w:iCs/>
      <w:color w:val="0F4761" w:themeColor="accent1" w:themeShade="BF"/>
    </w:rPr>
  </w:style>
  <w:style w:type="paragraph" w:styleId="IntenseQuote">
    <w:name w:val="Intense Quote"/>
    <w:basedOn w:val="Normal"/>
    <w:next w:val="Normal"/>
    <w:link w:val="IntenseQuoteChar"/>
    <w:uiPriority w:val="30"/>
    <w:qFormat/>
    <w:rsid w:val="00EA3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38C"/>
    <w:rPr>
      <w:i/>
      <w:iCs/>
      <w:color w:val="0F4761" w:themeColor="accent1" w:themeShade="BF"/>
    </w:rPr>
  </w:style>
  <w:style w:type="character" w:styleId="IntenseReference">
    <w:name w:val="Intense Reference"/>
    <w:basedOn w:val="DefaultParagraphFont"/>
    <w:uiPriority w:val="32"/>
    <w:qFormat/>
    <w:rsid w:val="00EA338C"/>
    <w:rPr>
      <w:b/>
      <w:bCs/>
      <w:smallCaps/>
      <w:color w:val="0F4761" w:themeColor="accent1" w:themeShade="BF"/>
      <w:spacing w:val="5"/>
    </w:rPr>
  </w:style>
  <w:style w:type="character" w:styleId="Hyperlink">
    <w:name w:val="Hyperlink"/>
    <w:basedOn w:val="DefaultParagraphFont"/>
    <w:uiPriority w:val="99"/>
    <w:unhideWhenUsed/>
    <w:rsid w:val="00E440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nsilium.europa.eu/en/policies/data-protection-reg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354</Words>
  <Characters>2396</Characters>
  <Application>Microsoft Office Word</Application>
  <DocSecurity>0</DocSecurity>
  <Lines>36</Lines>
  <Paragraphs>9</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60</cp:revision>
  <dcterms:created xsi:type="dcterms:W3CDTF">2026-01-21T20:11:00Z</dcterms:created>
  <dcterms:modified xsi:type="dcterms:W3CDTF">2026-01-23T15:29:00Z</dcterms:modified>
</cp:coreProperties>
</file>